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8504" w:type="dxa"/>
        <w:tblLook w:val="04A0" w:firstRow="1" w:lastRow="0" w:firstColumn="1" w:lastColumn="0" w:noHBand="0" w:noVBand="1"/>
      </w:tblPr>
      <w:tblGrid>
        <w:gridCol w:w="8504"/>
      </w:tblGrid>
      <w:tr w:rsidR="0056694D" w14:paraId="31FC2D77" w14:textId="77777777" w:rsidTr="00252FF5">
        <w:trPr>
          <w:trHeight w:val="851"/>
        </w:trPr>
        <w:tc>
          <w:tcPr>
            <w:tcW w:w="8504" w:type="dxa"/>
            <w:shd w:val="clear" w:color="auto" w:fill="2F5496" w:themeFill="accent5" w:themeFillShade="BF"/>
          </w:tcPr>
          <w:p w14:paraId="626E8A94" w14:textId="64CCFE37" w:rsidR="00D80BD0" w:rsidRDefault="00D80BD0" w:rsidP="00AF71A0">
            <w:pPr>
              <w:jc w:val="center"/>
              <w:rPr>
                <w:rFonts w:cstheme="minorHAnsi"/>
                <w:b/>
                <w:color w:val="FFFFFF" w:themeColor="background1"/>
                <w:sz w:val="28"/>
                <w:szCs w:val="28"/>
              </w:rPr>
            </w:pPr>
          </w:p>
          <w:p w14:paraId="6E838A98" w14:textId="2877C761" w:rsidR="00766CBD" w:rsidRPr="007548E3" w:rsidRDefault="00766CBD" w:rsidP="00AF71A0">
            <w:pPr>
              <w:jc w:val="center"/>
              <w:rPr>
                <w:rFonts w:cstheme="minorHAnsi"/>
                <w:b/>
                <w:color w:val="FFFFFF" w:themeColor="background1"/>
                <w:sz w:val="28"/>
                <w:szCs w:val="28"/>
              </w:rPr>
            </w:pPr>
            <w:r>
              <w:rPr>
                <w:rFonts w:cstheme="minorHAnsi"/>
                <w:b/>
                <w:color w:val="FFFFFF" w:themeColor="background1"/>
                <w:sz w:val="28"/>
                <w:szCs w:val="28"/>
              </w:rPr>
              <w:t>AFILIACIÓN DE EMPRESAS ASOCIADAS</w:t>
            </w:r>
          </w:p>
          <w:p w14:paraId="45C745C7" w14:textId="77777777" w:rsidR="0056694D" w:rsidRPr="007548E3" w:rsidRDefault="0056694D" w:rsidP="00AF71A0">
            <w:pPr>
              <w:jc w:val="center"/>
              <w:rPr>
                <w:rFonts w:cstheme="minorHAnsi"/>
                <w:b/>
                <w:color w:val="FFFFFF" w:themeColor="background1"/>
                <w:sz w:val="28"/>
                <w:szCs w:val="28"/>
              </w:rPr>
            </w:pPr>
            <w:r w:rsidRPr="007548E3">
              <w:rPr>
                <w:rFonts w:cstheme="minorHAnsi"/>
                <w:b/>
                <w:color w:val="FFFFFF" w:themeColor="background1"/>
                <w:sz w:val="28"/>
                <w:szCs w:val="28"/>
              </w:rPr>
              <w:t>Y TRABAJADORES PROTEGIDOS</w:t>
            </w:r>
          </w:p>
          <w:p w14:paraId="08CCC05C" w14:textId="77777777" w:rsidR="0056694D" w:rsidRPr="007548E3" w:rsidRDefault="0056694D" w:rsidP="00AF71A0">
            <w:pPr>
              <w:jc w:val="center"/>
              <w:rPr>
                <w:rFonts w:cstheme="minorHAnsi"/>
                <w:color w:val="525252"/>
                <w:sz w:val="24"/>
                <w:szCs w:val="24"/>
              </w:rPr>
            </w:pPr>
          </w:p>
        </w:tc>
      </w:tr>
      <w:tr w:rsidR="0056694D" w14:paraId="7EC6F5FB" w14:textId="77777777" w:rsidTr="00252FF5">
        <w:trPr>
          <w:trHeight w:val="344"/>
        </w:trPr>
        <w:tc>
          <w:tcPr>
            <w:tcW w:w="8504" w:type="dxa"/>
            <w:shd w:val="clear" w:color="auto" w:fill="002060"/>
          </w:tcPr>
          <w:p w14:paraId="14FAAD76" w14:textId="77777777" w:rsidR="00766CBD" w:rsidRDefault="00766CBD" w:rsidP="00AF71A0">
            <w:pPr>
              <w:spacing w:line="276" w:lineRule="auto"/>
              <w:jc w:val="center"/>
              <w:rPr>
                <w:rFonts w:cstheme="minorHAnsi"/>
                <w:color w:val="FFFFFF" w:themeColor="background1"/>
                <w:sz w:val="24"/>
                <w:szCs w:val="24"/>
              </w:rPr>
            </w:pPr>
          </w:p>
          <w:p w14:paraId="64817511" w14:textId="77777777" w:rsidR="008C662A" w:rsidRDefault="008C662A" w:rsidP="008C662A">
            <w:pPr>
              <w:spacing w:line="276" w:lineRule="auto"/>
              <w:jc w:val="center"/>
              <w:rPr>
                <w:rFonts w:cstheme="minorHAnsi"/>
                <w:color w:val="FFFFFF" w:themeColor="background1"/>
                <w:sz w:val="24"/>
                <w:szCs w:val="24"/>
              </w:rPr>
            </w:pPr>
            <w:r>
              <w:rPr>
                <w:rFonts w:cstheme="minorHAnsi"/>
                <w:color w:val="FFFFFF" w:themeColor="background1"/>
                <w:sz w:val="24"/>
                <w:szCs w:val="24"/>
              </w:rPr>
              <w:t>PRIMER SEMESTRE DEL EJERCICIO 2023</w:t>
            </w:r>
          </w:p>
          <w:p w14:paraId="3268EFDE" w14:textId="47A32C48" w:rsidR="004E3216" w:rsidRPr="007548E3" w:rsidRDefault="008C662A" w:rsidP="00252FF5">
            <w:pPr>
              <w:spacing w:line="276" w:lineRule="auto"/>
              <w:jc w:val="right"/>
              <w:rPr>
                <w:rFonts w:cstheme="minorHAnsi"/>
                <w:i/>
                <w:iCs/>
                <w:color w:val="FFFFFF" w:themeColor="background1"/>
              </w:rPr>
            </w:pPr>
            <w:r>
              <w:rPr>
                <w:rFonts w:ascii="Arial" w:hAnsi="Arial" w:cs="Arial"/>
                <w:i/>
                <w:iCs/>
                <w:color w:val="FFFFFF" w:themeColor="background1"/>
                <w:sz w:val="16"/>
                <w:szCs w:val="16"/>
              </w:rPr>
              <w:t>(Primer Semestre 2023</w:t>
            </w:r>
            <w:r w:rsidRPr="00A30BB9">
              <w:rPr>
                <w:rFonts w:ascii="Arial" w:hAnsi="Arial" w:cs="Arial"/>
                <w:i/>
                <w:iCs/>
                <w:color w:val="FFFFFF" w:themeColor="background1"/>
                <w:sz w:val="16"/>
                <w:szCs w:val="16"/>
              </w:rPr>
              <w:t xml:space="preserve">. </w:t>
            </w:r>
            <w:r>
              <w:rPr>
                <w:rFonts w:ascii="Arial" w:hAnsi="Arial" w:cs="Arial"/>
                <w:i/>
                <w:iCs/>
                <w:color w:val="FFFFFF" w:themeColor="background1"/>
                <w:sz w:val="16"/>
                <w:szCs w:val="16"/>
              </w:rPr>
              <w:t>Agosto 2023)</w:t>
            </w:r>
          </w:p>
        </w:tc>
      </w:tr>
    </w:tbl>
    <w:p w14:paraId="31D79253" w14:textId="77777777" w:rsidR="00D80BD0" w:rsidRPr="000C6ACF" w:rsidRDefault="00D80BD0" w:rsidP="00D80BD0">
      <w:pPr>
        <w:pStyle w:val="Textoindependiente2"/>
      </w:pPr>
    </w:p>
    <w:p w14:paraId="5B809E50" w14:textId="7702BE84" w:rsidR="00F6719B" w:rsidRPr="003C5D8F" w:rsidRDefault="001E1C82" w:rsidP="000B13F3">
      <w:pPr>
        <w:jc w:val="both"/>
        <w:rPr>
          <w:rFonts w:ascii="Calibri" w:hAnsi="Calibri" w:cs="Calibri"/>
          <w:sz w:val="24"/>
          <w:szCs w:val="24"/>
        </w:rPr>
      </w:pPr>
      <w:r>
        <w:rPr>
          <w:rFonts w:ascii="Calibri" w:hAnsi="Calibri" w:cs="Calibri"/>
          <w:sz w:val="24"/>
          <w:szCs w:val="24"/>
        </w:rPr>
        <w:t>A continuación</w:t>
      </w:r>
      <w:r w:rsidR="00CD0483" w:rsidRPr="003C5D8F">
        <w:rPr>
          <w:rFonts w:ascii="Calibri" w:hAnsi="Calibri" w:cs="Calibri"/>
          <w:sz w:val="24"/>
          <w:szCs w:val="24"/>
        </w:rPr>
        <w:t>, se detalla</w:t>
      </w:r>
      <w:r w:rsidR="004E714F" w:rsidRPr="003C5D8F">
        <w:rPr>
          <w:rFonts w:ascii="Calibri" w:hAnsi="Calibri" w:cs="Calibri"/>
          <w:sz w:val="24"/>
          <w:szCs w:val="24"/>
        </w:rPr>
        <w:t>n los datos de</w:t>
      </w:r>
      <w:r w:rsidR="00CD0483" w:rsidRPr="003C5D8F">
        <w:rPr>
          <w:rFonts w:ascii="Calibri" w:hAnsi="Calibri" w:cs="Calibri"/>
          <w:sz w:val="24"/>
          <w:szCs w:val="24"/>
        </w:rPr>
        <w:t xml:space="preserve"> afiliación de las empresas asociadas y trabajadores protegidos </w:t>
      </w:r>
      <w:r w:rsidR="00686A52">
        <w:rPr>
          <w:rFonts w:ascii="Calibri" w:hAnsi="Calibri" w:cs="Calibri"/>
          <w:sz w:val="24"/>
          <w:szCs w:val="24"/>
        </w:rPr>
        <w:t>por</w:t>
      </w:r>
      <w:r w:rsidR="00CD0483" w:rsidRPr="003C5D8F">
        <w:rPr>
          <w:rFonts w:ascii="Calibri" w:hAnsi="Calibri" w:cs="Calibri"/>
          <w:sz w:val="24"/>
          <w:szCs w:val="24"/>
        </w:rPr>
        <w:t xml:space="preserve"> las Mutuas, y </w:t>
      </w:r>
      <w:r w:rsidR="00634C75" w:rsidRPr="003C5D8F">
        <w:rPr>
          <w:rFonts w:ascii="Calibri" w:hAnsi="Calibri" w:cs="Calibri"/>
          <w:sz w:val="24"/>
          <w:szCs w:val="24"/>
        </w:rPr>
        <w:t>del</w:t>
      </w:r>
      <w:r w:rsidR="00CD0483" w:rsidRPr="003C5D8F">
        <w:rPr>
          <w:rFonts w:ascii="Calibri" w:hAnsi="Calibri" w:cs="Calibri"/>
          <w:sz w:val="24"/>
          <w:szCs w:val="24"/>
        </w:rPr>
        <w:t xml:space="preserve"> total del Sistema </w:t>
      </w:r>
      <w:r w:rsidR="008C662A">
        <w:rPr>
          <w:rFonts w:ascii="Calibri" w:hAnsi="Calibri" w:cs="Calibri"/>
          <w:sz w:val="24"/>
          <w:szCs w:val="24"/>
        </w:rPr>
        <w:t>para el primer semestre de 2023</w:t>
      </w:r>
      <w:r w:rsidR="00CD0483" w:rsidRPr="003C5D8F">
        <w:rPr>
          <w:rFonts w:ascii="Calibri" w:hAnsi="Calibri" w:cs="Calibri"/>
          <w:sz w:val="24"/>
          <w:szCs w:val="24"/>
        </w:rPr>
        <w:t>. Este dato se compara con el mismo</w:t>
      </w:r>
      <w:r w:rsidR="00634C75" w:rsidRPr="003C5D8F">
        <w:rPr>
          <w:rFonts w:ascii="Calibri" w:hAnsi="Calibri" w:cs="Calibri"/>
          <w:sz w:val="24"/>
          <w:szCs w:val="24"/>
        </w:rPr>
        <w:t xml:space="preserve"> dato del</w:t>
      </w:r>
      <w:r w:rsidR="00CD0483" w:rsidRPr="003C5D8F">
        <w:rPr>
          <w:rFonts w:ascii="Calibri" w:hAnsi="Calibri" w:cs="Calibri"/>
          <w:sz w:val="24"/>
          <w:szCs w:val="24"/>
        </w:rPr>
        <w:t xml:space="preserve"> periodo del ejercicio anterior, así como los datos de antes de la pandemia</w:t>
      </w:r>
      <w:r w:rsidR="004E714F" w:rsidRPr="003C5D8F">
        <w:rPr>
          <w:rFonts w:ascii="Calibri" w:hAnsi="Calibri" w:cs="Calibri"/>
          <w:sz w:val="24"/>
          <w:szCs w:val="24"/>
        </w:rPr>
        <w:t xml:space="preserve"> (</w:t>
      </w:r>
      <w:proofErr w:type="gramStart"/>
      <w:r w:rsidR="004E714F" w:rsidRPr="003C5D8F">
        <w:rPr>
          <w:rFonts w:ascii="Calibri" w:hAnsi="Calibri" w:cs="Calibri"/>
          <w:sz w:val="24"/>
          <w:szCs w:val="24"/>
        </w:rPr>
        <w:t>Diciembre</w:t>
      </w:r>
      <w:proofErr w:type="gramEnd"/>
      <w:r w:rsidR="004E714F" w:rsidRPr="003C5D8F">
        <w:rPr>
          <w:rFonts w:ascii="Calibri" w:hAnsi="Calibri" w:cs="Calibri"/>
          <w:sz w:val="24"/>
          <w:szCs w:val="24"/>
        </w:rPr>
        <w:t xml:space="preserve"> de 2019)</w:t>
      </w:r>
      <w:r w:rsidR="00CD0483" w:rsidRPr="003C5D8F">
        <w:rPr>
          <w:rFonts w:ascii="Calibri" w:hAnsi="Calibri" w:cs="Calibri"/>
          <w:sz w:val="24"/>
          <w:szCs w:val="24"/>
        </w:rPr>
        <w:t>.</w:t>
      </w:r>
    </w:p>
    <w:p w14:paraId="1336F3B3" w14:textId="77777777" w:rsidR="009479C7" w:rsidRPr="003C5D8F" w:rsidRDefault="009479C7" w:rsidP="009479C7">
      <w:pPr>
        <w:ind w:left="708"/>
        <w:jc w:val="both"/>
        <w:rPr>
          <w:rFonts w:ascii="Calibri" w:hAnsi="Calibri" w:cs="Calibri"/>
          <w:b/>
          <w:bCs/>
          <w:sz w:val="24"/>
          <w:szCs w:val="24"/>
          <w:u w:val="single"/>
        </w:rPr>
      </w:pPr>
      <w:r w:rsidRPr="003C5D8F">
        <w:rPr>
          <w:rFonts w:ascii="Calibri" w:hAnsi="Calibri" w:cs="Calibri"/>
          <w:b/>
          <w:bCs/>
          <w:sz w:val="24"/>
          <w:szCs w:val="24"/>
          <w:u w:val="single"/>
        </w:rPr>
        <w:t>Afiliación en el Sector de las Mutuas:</w:t>
      </w:r>
    </w:p>
    <w:p w14:paraId="0C0CF2FE" w14:textId="77777777" w:rsidR="0013058F" w:rsidRPr="003C5D8F" w:rsidRDefault="0013058F" w:rsidP="000B13F3">
      <w:pPr>
        <w:jc w:val="both"/>
        <w:rPr>
          <w:rFonts w:ascii="Calibri" w:hAnsi="Calibri" w:cs="Calibri"/>
          <w:sz w:val="24"/>
          <w:szCs w:val="24"/>
          <w:u w:val="single"/>
        </w:rPr>
      </w:pPr>
      <w:r w:rsidRPr="003C5D8F">
        <w:rPr>
          <w:rFonts w:ascii="Calibri" w:hAnsi="Calibri" w:cs="Calibri"/>
          <w:sz w:val="24"/>
          <w:szCs w:val="24"/>
          <w:u w:val="single"/>
        </w:rPr>
        <w:t>Por Contingencias Profesionales:</w:t>
      </w:r>
    </w:p>
    <w:p w14:paraId="429CCE47" w14:textId="769E76CA" w:rsidR="00FC053D" w:rsidRDefault="007E1180" w:rsidP="000B13F3">
      <w:pPr>
        <w:jc w:val="both"/>
        <w:rPr>
          <w:rFonts w:ascii="Calibri" w:hAnsi="Calibri" w:cs="Calibri"/>
          <w:sz w:val="24"/>
          <w:szCs w:val="24"/>
        </w:rPr>
      </w:pPr>
      <w:r w:rsidRPr="003C5D8F">
        <w:rPr>
          <w:rFonts w:ascii="Calibri" w:hAnsi="Calibri" w:cs="Calibri"/>
          <w:sz w:val="24"/>
          <w:szCs w:val="24"/>
        </w:rPr>
        <w:t xml:space="preserve">La asociación de </w:t>
      </w:r>
      <w:r w:rsidRPr="003C5D8F">
        <w:rPr>
          <w:rFonts w:ascii="Calibri" w:hAnsi="Calibri" w:cs="Calibri"/>
          <w:b/>
          <w:bCs/>
          <w:sz w:val="24"/>
          <w:szCs w:val="24"/>
        </w:rPr>
        <w:t>empresas</w:t>
      </w:r>
      <w:r w:rsidRPr="003C5D8F">
        <w:rPr>
          <w:rFonts w:ascii="Calibri" w:hAnsi="Calibri" w:cs="Calibri"/>
          <w:sz w:val="24"/>
          <w:szCs w:val="24"/>
        </w:rPr>
        <w:t xml:space="preserve"> a las Mutuas </w:t>
      </w:r>
      <w:r w:rsidR="0043214C">
        <w:rPr>
          <w:rFonts w:ascii="Calibri" w:hAnsi="Calibri" w:cs="Calibri"/>
          <w:sz w:val="24"/>
          <w:szCs w:val="24"/>
        </w:rPr>
        <w:t>por</w:t>
      </w:r>
      <w:r w:rsidRPr="003C5D8F">
        <w:rPr>
          <w:rFonts w:ascii="Calibri" w:hAnsi="Calibri" w:cs="Calibri"/>
          <w:b/>
          <w:sz w:val="24"/>
          <w:szCs w:val="24"/>
        </w:rPr>
        <w:t xml:space="preserve"> </w:t>
      </w:r>
      <w:r w:rsidR="00F06394" w:rsidRPr="003C5D8F">
        <w:rPr>
          <w:rFonts w:ascii="Calibri" w:hAnsi="Calibri" w:cs="Calibri"/>
          <w:bCs/>
          <w:sz w:val="24"/>
          <w:szCs w:val="24"/>
        </w:rPr>
        <w:t>Contingencias Profesionales</w:t>
      </w:r>
      <w:r w:rsidRPr="003C5D8F">
        <w:rPr>
          <w:rFonts w:ascii="Calibri" w:hAnsi="Calibri" w:cs="Calibri"/>
          <w:sz w:val="24"/>
          <w:szCs w:val="24"/>
        </w:rPr>
        <w:t xml:space="preserve"> ha pasado de </w:t>
      </w:r>
      <w:r w:rsidR="008C662A">
        <w:rPr>
          <w:rFonts w:ascii="Calibri" w:hAnsi="Calibri" w:cs="Calibri"/>
          <w:sz w:val="24"/>
          <w:szCs w:val="24"/>
        </w:rPr>
        <w:t>1.433.754</w:t>
      </w:r>
      <w:r w:rsidR="00D442E2" w:rsidRPr="00343121">
        <w:rPr>
          <w:rFonts w:ascii="Calibri" w:hAnsi="Calibri" w:cs="Calibri"/>
          <w:sz w:val="24"/>
          <w:szCs w:val="24"/>
        </w:rPr>
        <w:t xml:space="preserve"> empresas</w:t>
      </w:r>
      <w:r w:rsidR="00D442E2" w:rsidRPr="003C5D8F">
        <w:rPr>
          <w:rFonts w:ascii="Calibri" w:hAnsi="Calibri" w:cs="Calibri"/>
          <w:sz w:val="24"/>
          <w:szCs w:val="24"/>
        </w:rPr>
        <w:t xml:space="preserve"> en </w:t>
      </w:r>
      <w:proofErr w:type="gramStart"/>
      <w:r w:rsidR="008C662A">
        <w:rPr>
          <w:rFonts w:ascii="Calibri" w:hAnsi="Calibri" w:cs="Calibri"/>
          <w:sz w:val="24"/>
          <w:szCs w:val="24"/>
        </w:rPr>
        <w:t>Junio</w:t>
      </w:r>
      <w:proofErr w:type="gramEnd"/>
      <w:r w:rsidR="008C662A">
        <w:rPr>
          <w:rFonts w:ascii="Calibri" w:hAnsi="Calibri" w:cs="Calibri"/>
          <w:sz w:val="24"/>
          <w:szCs w:val="24"/>
        </w:rPr>
        <w:t xml:space="preserve"> de </w:t>
      </w:r>
      <w:r w:rsidR="00D442E2" w:rsidRPr="003C5D8F">
        <w:rPr>
          <w:rFonts w:ascii="Calibri" w:hAnsi="Calibri" w:cs="Calibri"/>
          <w:sz w:val="24"/>
          <w:szCs w:val="24"/>
        </w:rPr>
        <w:t>202</w:t>
      </w:r>
      <w:r w:rsidR="008C662A">
        <w:rPr>
          <w:rFonts w:ascii="Calibri" w:hAnsi="Calibri" w:cs="Calibri"/>
          <w:sz w:val="24"/>
          <w:szCs w:val="24"/>
        </w:rPr>
        <w:t>2</w:t>
      </w:r>
      <w:r w:rsidR="00D442E2" w:rsidRPr="003C5D8F">
        <w:rPr>
          <w:rFonts w:ascii="Calibri" w:hAnsi="Calibri" w:cs="Calibri"/>
          <w:sz w:val="24"/>
          <w:szCs w:val="24"/>
        </w:rPr>
        <w:t xml:space="preserve"> a </w:t>
      </w:r>
      <w:r w:rsidR="008C662A">
        <w:rPr>
          <w:rFonts w:ascii="Calibri" w:hAnsi="Calibri" w:cs="Calibri"/>
          <w:b/>
          <w:bCs/>
          <w:sz w:val="24"/>
          <w:szCs w:val="24"/>
        </w:rPr>
        <w:t>1.438.701</w:t>
      </w:r>
      <w:r w:rsidR="00D442E2" w:rsidRPr="00FC053D">
        <w:rPr>
          <w:rFonts w:ascii="Calibri" w:hAnsi="Calibri" w:cs="Calibri"/>
          <w:b/>
          <w:bCs/>
          <w:sz w:val="24"/>
          <w:szCs w:val="24"/>
        </w:rPr>
        <w:t xml:space="preserve"> </w:t>
      </w:r>
      <w:r w:rsidR="00D442E2" w:rsidRPr="003C5D8F">
        <w:rPr>
          <w:rFonts w:ascii="Calibri" w:hAnsi="Calibri" w:cs="Calibri"/>
          <w:sz w:val="24"/>
          <w:szCs w:val="24"/>
        </w:rPr>
        <w:t xml:space="preserve">empresas en </w:t>
      </w:r>
      <w:r w:rsidR="008C662A">
        <w:rPr>
          <w:rFonts w:ascii="Calibri" w:hAnsi="Calibri" w:cs="Calibri"/>
          <w:sz w:val="24"/>
          <w:szCs w:val="24"/>
        </w:rPr>
        <w:t xml:space="preserve">Junio de </w:t>
      </w:r>
      <w:r w:rsidR="00D442E2" w:rsidRPr="003C5D8F">
        <w:rPr>
          <w:rFonts w:ascii="Calibri" w:hAnsi="Calibri" w:cs="Calibri"/>
          <w:sz w:val="24"/>
          <w:szCs w:val="24"/>
        </w:rPr>
        <w:t>202</w:t>
      </w:r>
      <w:r w:rsidR="008C662A">
        <w:rPr>
          <w:rFonts w:ascii="Calibri" w:hAnsi="Calibri" w:cs="Calibri"/>
          <w:sz w:val="24"/>
          <w:szCs w:val="24"/>
        </w:rPr>
        <w:t>3</w:t>
      </w:r>
      <w:r w:rsidR="00D442E2" w:rsidRPr="003C5D8F">
        <w:rPr>
          <w:rFonts w:ascii="Calibri" w:hAnsi="Calibri" w:cs="Calibri"/>
          <w:sz w:val="24"/>
          <w:szCs w:val="24"/>
        </w:rPr>
        <w:t xml:space="preserve"> que, </w:t>
      </w:r>
      <w:r w:rsidR="00D442E2" w:rsidRPr="00343121">
        <w:rPr>
          <w:rFonts w:ascii="Calibri" w:hAnsi="Calibri" w:cs="Calibri"/>
          <w:sz w:val="24"/>
          <w:szCs w:val="24"/>
        </w:rPr>
        <w:t xml:space="preserve">representa un incremento de un </w:t>
      </w:r>
      <w:r w:rsidR="008C662A">
        <w:rPr>
          <w:rFonts w:ascii="Calibri" w:hAnsi="Calibri" w:cs="Calibri"/>
          <w:sz w:val="24"/>
          <w:szCs w:val="24"/>
        </w:rPr>
        <w:t>0,35</w:t>
      </w:r>
      <w:r w:rsidR="00D442E2" w:rsidRPr="00343121">
        <w:rPr>
          <w:rFonts w:ascii="Calibri" w:hAnsi="Calibri" w:cs="Calibri"/>
          <w:sz w:val="24"/>
          <w:szCs w:val="24"/>
        </w:rPr>
        <w:t xml:space="preserve">%, </w:t>
      </w:r>
      <w:r w:rsidR="00272BAB" w:rsidRPr="00343121">
        <w:rPr>
          <w:rFonts w:ascii="Calibri" w:hAnsi="Calibri" w:cs="Calibri"/>
          <w:sz w:val="24"/>
          <w:szCs w:val="24"/>
        </w:rPr>
        <w:t>m</w:t>
      </w:r>
      <w:r w:rsidR="00007E26" w:rsidRPr="00343121">
        <w:rPr>
          <w:rFonts w:ascii="Calibri" w:hAnsi="Calibri" w:cs="Calibri"/>
          <w:sz w:val="24"/>
          <w:szCs w:val="24"/>
        </w:rPr>
        <w:t xml:space="preserve">ientras que los </w:t>
      </w:r>
      <w:r w:rsidR="00007E26" w:rsidRPr="00343121">
        <w:rPr>
          <w:rFonts w:ascii="Calibri" w:hAnsi="Calibri" w:cs="Calibri"/>
          <w:b/>
          <w:bCs/>
          <w:sz w:val="24"/>
          <w:szCs w:val="24"/>
        </w:rPr>
        <w:t>trabajadores protegidos</w:t>
      </w:r>
      <w:r w:rsidR="00007E26" w:rsidRPr="00343121">
        <w:rPr>
          <w:rFonts w:ascii="Calibri" w:hAnsi="Calibri" w:cs="Calibri"/>
          <w:sz w:val="24"/>
          <w:szCs w:val="24"/>
        </w:rPr>
        <w:t xml:space="preserve"> por esta contingencia y en el mismo periodo </w:t>
      </w:r>
      <w:r w:rsidR="004519C1" w:rsidRPr="00343121">
        <w:rPr>
          <w:rFonts w:ascii="Calibri" w:hAnsi="Calibri" w:cs="Calibri"/>
          <w:sz w:val="24"/>
          <w:szCs w:val="24"/>
        </w:rPr>
        <w:t>de tiempo</w:t>
      </w:r>
      <w:r w:rsidR="00CD0483" w:rsidRPr="00343121">
        <w:rPr>
          <w:rFonts w:ascii="Calibri" w:hAnsi="Calibri" w:cs="Calibri"/>
          <w:sz w:val="24"/>
          <w:szCs w:val="24"/>
        </w:rPr>
        <w:t>,</w:t>
      </w:r>
      <w:r w:rsidR="004519C1" w:rsidRPr="00343121">
        <w:rPr>
          <w:rFonts w:ascii="Calibri" w:hAnsi="Calibri" w:cs="Calibri"/>
          <w:sz w:val="24"/>
          <w:szCs w:val="24"/>
        </w:rPr>
        <w:t xml:space="preserve"> </w:t>
      </w:r>
      <w:r w:rsidR="00007E26" w:rsidRPr="00343121">
        <w:rPr>
          <w:rFonts w:ascii="Calibri" w:hAnsi="Calibri" w:cs="Calibri"/>
          <w:sz w:val="24"/>
          <w:szCs w:val="24"/>
        </w:rPr>
        <w:t xml:space="preserve">han pasado de </w:t>
      </w:r>
      <w:r w:rsidR="00D442E2" w:rsidRPr="00343121">
        <w:rPr>
          <w:rFonts w:ascii="Calibri" w:hAnsi="Calibri" w:cs="Calibri"/>
          <w:sz w:val="24"/>
          <w:szCs w:val="24"/>
        </w:rPr>
        <w:t>1</w:t>
      </w:r>
      <w:r w:rsidR="008C662A">
        <w:rPr>
          <w:rFonts w:ascii="Calibri" w:hAnsi="Calibri" w:cs="Calibri"/>
          <w:sz w:val="24"/>
          <w:szCs w:val="24"/>
        </w:rPr>
        <w:t>8</w:t>
      </w:r>
      <w:r w:rsidR="00D442E2" w:rsidRPr="00343121">
        <w:rPr>
          <w:rFonts w:ascii="Calibri" w:hAnsi="Calibri" w:cs="Calibri"/>
          <w:sz w:val="24"/>
          <w:szCs w:val="24"/>
        </w:rPr>
        <w:t>.</w:t>
      </w:r>
      <w:r w:rsidR="008C662A">
        <w:rPr>
          <w:rFonts w:ascii="Calibri" w:hAnsi="Calibri" w:cs="Calibri"/>
          <w:sz w:val="24"/>
          <w:szCs w:val="24"/>
        </w:rPr>
        <w:t>329.442</w:t>
      </w:r>
      <w:r w:rsidR="00D442E2" w:rsidRPr="00343121">
        <w:rPr>
          <w:rFonts w:ascii="Calibri" w:hAnsi="Calibri" w:cs="Calibri"/>
          <w:sz w:val="24"/>
          <w:szCs w:val="24"/>
        </w:rPr>
        <w:t xml:space="preserve"> </w:t>
      </w:r>
      <w:r w:rsidR="00686A52">
        <w:rPr>
          <w:rFonts w:ascii="Calibri" w:hAnsi="Calibri" w:cs="Calibri"/>
          <w:sz w:val="24"/>
          <w:szCs w:val="24"/>
        </w:rPr>
        <w:t>T</w:t>
      </w:r>
      <w:r w:rsidR="00D442E2" w:rsidRPr="00343121">
        <w:rPr>
          <w:rFonts w:ascii="Calibri" w:hAnsi="Calibri" w:cs="Calibri"/>
          <w:sz w:val="24"/>
          <w:szCs w:val="24"/>
        </w:rPr>
        <w:t xml:space="preserve">rabajadores en </w:t>
      </w:r>
      <w:r w:rsidR="008C662A">
        <w:rPr>
          <w:rFonts w:ascii="Calibri" w:hAnsi="Calibri" w:cs="Calibri"/>
          <w:sz w:val="24"/>
          <w:szCs w:val="24"/>
        </w:rPr>
        <w:t>Junio de 2022</w:t>
      </w:r>
      <w:r w:rsidR="00D442E2" w:rsidRPr="00343121">
        <w:rPr>
          <w:rFonts w:ascii="Calibri" w:hAnsi="Calibri" w:cs="Calibri"/>
          <w:sz w:val="24"/>
          <w:szCs w:val="24"/>
        </w:rPr>
        <w:t xml:space="preserve"> a </w:t>
      </w:r>
      <w:r w:rsidR="00D442E2" w:rsidRPr="00FC053D">
        <w:rPr>
          <w:rFonts w:ascii="Calibri" w:hAnsi="Calibri" w:cs="Calibri"/>
          <w:b/>
          <w:bCs/>
          <w:sz w:val="24"/>
          <w:szCs w:val="24"/>
        </w:rPr>
        <w:t>18.</w:t>
      </w:r>
      <w:r w:rsidR="008C662A">
        <w:rPr>
          <w:rFonts w:ascii="Calibri" w:hAnsi="Calibri" w:cs="Calibri"/>
          <w:b/>
          <w:bCs/>
          <w:sz w:val="24"/>
          <w:szCs w:val="24"/>
        </w:rPr>
        <w:t>870</w:t>
      </w:r>
      <w:r w:rsidR="00D442E2" w:rsidRPr="00FC053D">
        <w:rPr>
          <w:rFonts w:ascii="Calibri" w:hAnsi="Calibri" w:cs="Calibri"/>
          <w:b/>
          <w:bCs/>
          <w:sz w:val="24"/>
          <w:szCs w:val="24"/>
        </w:rPr>
        <w:t>.</w:t>
      </w:r>
      <w:r w:rsidR="008C662A">
        <w:rPr>
          <w:rFonts w:ascii="Calibri" w:hAnsi="Calibri" w:cs="Calibri"/>
          <w:b/>
          <w:bCs/>
          <w:sz w:val="24"/>
          <w:szCs w:val="24"/>
        </w:rPr>
        <w:t>382</w:t>
      </w:r>
      <w:r w:rsidR="00D442E2" w:rsidRPr="00FC053D">
        <w:rPr>
          <w:rFonts w:ascii="Calibri" w:hAnsi="Calibri" w:cs="Calibri"/>
          <w:b/>
          <w:bCs/>
          <w:sz w:val="24"/>
          <w:szCs w:val="24"/>
        </w:rPr>
        <w:t xml:space="preserve"> </w:t>
      </w:r>
      <w:r w:rsidR="00D442E2" w:rsidRPr="00343121">
        <w:rPr>
          <w:rFonts w:ascii="Calibri" w:hAnsi="Calibri" w:cs="Calibri"/>
          <w:sz w:val="24"/>
          <w:szCs w:val="24"/>
        </w:rPr>
        <w:t xml:space="preserve">en </w:t>
      </w:r>
      <w:r w:rsidR="008C662A">
        <w:rPr>
          <w:rFonts w:ascii="Calibri" w:hAnsi="Calibri" w:cs="Calibri"/>
          <w:sz w:val="24"/>
          <w:szCs w:val="24"/>
        </w:rPr>
        <w:t xml:space="preserve">Junio de </w:t>
      </w:r>
      <w:r w:rsidR="00D442E2" w:rsidRPr="00343121">
        <w:rPr>
          <w:rFonts w:ascii="Calibri" w:hAnsi="Calibri" w:cs="Calibri"/>
          <w:sz w:val="24"/>
          <w:szCs w:val="24"/>
        </w:rPr>
        <w:t>202</w:t>
      </w:r>
      <w:r w:rsidR="008C662A">
        <w:rPr>
          <w:rFonts w:ascii="Calibri" w:hAnsi="Calibri" w:cs="Calibri"/>
          <w:sz w:val="24"/>
          <w:szCs w:val="24"/>
        </w:rPr>
        <w:t>3</w:t>
      </w:r>
      <w:r w:rsidR="00007E26" w:rsidRPr="00343121">
        <w:rPr>
          <w:rFonts w:ascii="Calibri" w:hAnsi="Calibri" w:cs="Calibri"/>
          <w:sz w:val="24"/>
          <w:szCs w:val="24"/>
        </w:rPr>
        <w:t xml:space="preserve">, con un </w:t>
      </w:r>
      <w:r w:rsidR="004519C1" w:rsidRPr="00343121">
        <w:rPr>
          <w:rFonts w:ascii="Calibri" w:hAnsi="Calibri" w:cs="Calibri"/>
          <w:sz w:val="24"/>
          <w:szCs w:val="24"/>
        </w:rPr>
        <w:t>incremento</w:t>
      </w:r>
      <w:r w:rsidR="00007E26" w:rsidRPr="00343121">
        <w:rPr>
          <w:rFonts w:ascii="Calibri" w:hAnsi="Calibri" w:cs="Calibri"/>
          <w:sz w:val="24"/>
          <w:szCs w:val="24"/>
        </w:rPr>
        <w:t xml:space="preserve"> del </w:t>
      </w:r>
      <w:r w:rsidR="008C662A">
        <w:rPr>
          <w:rFonts w:ascii="Calibri" w:hAnsi="Calibri" w:cs="Calibri"/>
          <w:sz w:val="24"/>
          <w:szCs w:val="24"/>
        </w:rPr>
        <w:t>2,95</w:t>
      </w:r>
      <w:r w:rsidR="00007E26" w:rsidRPr="00343121">
        <w:rPr>
          <w:rFonts w:ascii="Calibri" w:hAnsi="Calibri" w:cs="Calibri"/>
          <w:sz w:val="24"/>
          <w:szCs w:val="24"/>
        </w:rPr>
        <w:t xml:space="preserve">%. </w:t>
      </w:r>
    </w:p>
    <w:p w14:paraId="20E7DC07" w14:textId="77777777" w:rsidR="008C662A" w:rsidRPr="008C662A" w:rsidRDefault="008C662A" w:rsidP="008C662A">
      <w:pPr>
        <w:jc w:val="both"/>
        <w:rPr>
          <w:rFonts w:ascii="Calibri" w:hAnsi="Calibri" w:cs="Calibri"/>
          <w:sz w:val="24"/>
          <w:szCs w:val="24"/>
        </w:rPr>
      </w:pPr>
      <w:r w:rsidRPr="008C662A">
        <w:rPr>
          <w:rFonts w:ascii="Calibri" w:hAnsi="Calibri" w:cs="Calibri"/>
          <w:sz w:val="24"/>
          <w:szCs w:val="24"/>
        </w:rPr>
        <w:t xml:space="preserve">La </w:t>
      </w:r>
      <w:r w:rsidRPr="008C662A">
        <w:rPr>
          <w:rFonts w:ascii="Calibri" w:hAnsi="Calibri" w:cs="Calibri"/>
          <w:b/>
          <w:bCs/>
          <w:sz w:val="24"/>
          <w:szCs w:val="24"/>
        </w:rPr>
        <w:t>cuota de mercado</w:t>
      </w:r>
      <w:r w:rsidRPr="008C662A">
        <w:rPr>
          <w:rFonts w:ascii="Calibri" w:hAnsi="Calibri" w:cs="Calibri"/>
          <w:sz w:val="24"/>
          <w:szCs w:val="24"/>
        </w:rPr>
        <w:t xml:space="preserve"> de las Mutuas en Contingencias Profesionales, medida por la afiliación de </w:t>
      </w:r>
      <w:r w:rsidRPr="008C662A">
        <w:rPr>
          <w:rFonts w:ascii="Calibri" w:hAnsi="Calibri" w:cs="Calibri"/>
          <w:b/>
          <w:bCs/>
          <w:sz w:val="24"/>
          <w:szCs w:val="24"/>
        </w:rPr>
        <w:t>empresas</w:t>
      </w:r>
      <w:r w:rsidRPr="008C662A">
        <w:rPr>
          <w:rFonts w:ascii="Calibri" w:hAnsi="Calibri" w:cs="Calibri"/>
          <w:sz w:val="24"/>
          <w:szCs w:val="24"/>
        </w:rPr>
        <w:t xml:space="preserve"> a las Mutuas, respecto al total del Sistema ha pasado del 98,74% en </w:t>
      </w:r>
      <w:proofErr w:type="gramStart"/>
      <w:r w:rsidRPr="008C662A">
        <w:rPr>
          <w:rFonts w:ascii="Calibri" w:hAnsi="Calibri" w:cs="Calibri"/>
          <w:sz w:val="24"/>
          <w:szCs w:val="24"/>
        </w:rPr>
        <w:t>Junio</w:t>
      </w:r>
      <w:proofErr w:type="gramEnd"/>
      <w:r w:rsidRPr="008C662A">
        <w:rPr>
          <w:rFonts w:ascii="Calibri" w:hAnsi="Calibri" w:cs="Calibri"/>
          <w:sz w:val="24"/>
          <w:szCs w:val="24"/>
        </w:rPr>
        <w:t xml:space="preserve"> de 2022 al </w:t>
      </w:r>
      <w:r w:rsidRPr="008C662A">
        <w:rPr>
          <w:rFonts w:ascii="Calibri" w:hAnsi="Calibri" w:cs="Calibri"/>
          <w:b/>
          <w:bCs/>
          <w:sz w:val="24"/>
          <w:szCs w:val="24"/>
        </w:rPr>
        <w:t>98,83%</w:t>
      </w:r>
      <w:r w:rsidRPr="008C662A">
        <w:rPr>
          <w:rFonts w:ascii="Calibri" w:hAnsi="Calibri" w:cs="Calibri"/>
          <w:sz w:val="24"/>
          <w:szCs w:val="24"/>
        </w:rPr>
        <w:t xml:space="preserve"> en Junio de 2023. Dicha cuota, medida por la afiliación de </w:t>
      </w:r>
      <w:r w:rsidRPr="008C662A">
        <w:rPr>
          <w:rFonts w:ascii="Calibri" w:hAnsi="Calibri" w:cs="Calibri"/>
          <w:b/>
          <w:bCs/>
          <w:sz w:val="24"/>
          <w:szCs w:val="24"/>
        </w:rPr>
        <w:t>trabajadores</w:t>
      </w:r>
      <w:r w:rsidRPr="008C662A">
        <w:rPr>
          <w:rFonts w:ascii="Calibri" w:hAnsi="Calibri" w:cs="Calibri"/>
          <w:sz w:val="24"/>
          <w:szCs w:val="24"/>
        </w:rPr>
        <w:t xml:space="preserve">, respecto al total del Sistema ha pasado del 97,12% en </w:t>
      </w:r>
      <w:proofErr w:type="gramStart"/>
      <w:r w:rsidRPr="008C662A">
        <w:rPr>
          <w:rFonts w:ascii="Calibri" w:hAnsi="Calibri" w:cs="Calibri"/>
          <w:sz w:val="24"/>
          <w:szCs w:val="24"/>
        </w:rPr>
        <w:t>Junio</w:t>
      </w:r>
      <w:proofErr w:type="gramEnd"/>
      <w:r w:rsidRPr="008C662A">
        <w:rPr>
          <w:rFonts w:ascii="Calibri" w:hAnsi="Calibri" w:cs="Calibri"/>
          <w:sz w:val="24"/>
          <w:szCs w:val="24"/>
        </w:rPr>
        <w:t xml:space="preserve"> de 2022 al </w:t>
      </w:r>
      <w:r w:rsidRPr="008C662A">
        <w:rPr>
          <w:rFonts w:ascii="Calibri" w:hAnsi="Calibri" w:cs="Calibri"/>
          <w:b/>
          <w:bCs/>
          <w:sz w:val="24"/>
          <w:szCs w:val="24"/>
        </w:rPr>
        <w:t>97,31%</w:t>
      </w:r>
      <w:r w:rsidRPr="008C662A">
        <w:rPr>
          <w:rFonts w:ascii="Calibri" w:hAnsi="Calibri" w:cs="Calibri"/>
          <w:sz w:val="24"/>
          <w:szCs w:val="24"/>
        </w:rPr>
        <w:t xml:space="preserve"> en Junio de 2023. </w:t>
      </w:r>
    </w:p>
    <w:p w14:paraId="0DCA34D2" w14:textId="4E8F46C3" w:rsidR="00874680" w:rsidRDefault="00874680" w:rsidP="00874680">
      <w:pPr>
        <w:jc w:val="both"/>
        <w:rPr>
          <w:rFonts w:ascii="Calibri" w:hAnsi="Calibri" w:cs="Calibri"/>
          <w:sz w:val="24"/>
          <w:szCs w:val="24"/>
        </w:rPr>
      </w:pPr>
      <w:r w:rsidRPr="00874680">
        <w:rPr>
          <w:rFonts w:ascii="Calibri" w:hAnsi="Calibri" w:cs="Calibri"/>
          <w:sz w:val="24"/>
          <w:szCs w:val="24"/>
        </w:rPr>
        <w:t xml:space="preserve">En cuanto a la </w:t>
      </w:r>
      <w:r w:rsidRPr="00874680">
        <w:rPr>
          <w:rFonts w:ascii="Calibri" w:hAnsi="Calibri" w:cs="Calibri"/>
          <w:b/>
          <w:bCs/>
          <w:sz w:val="24"/>
          <w:szCs w:val="24"/>
        </w:rPr>
        <w:t>cuota de mercado</w:t>
      </w:r>
      <w:r w:rsidRPr="00874680">
        <w:rPr>
          <w:rFonts w:ascii="Calibri" w:hAnsi="Calibri" w:cs="Calibri"/>
          <w:sz w:val="24"/>
          <w:szCs w:val="24"/>
        </w:rPr>
        <w:t xml:space="preserve"> de las Mutuas en Contingencias Profesionales, medida por la afiliación al Régimen de Trabajadores Autónomos</w:t>
      </w:r>
      <w:r w:rsidR="002A1F80" w:rsidRPr="00AC4B57">
        <w:rPr>
          <w:rFonts w:ascii="Calibri" w:hAnsi="Calibri" w:cs="Calibri"/>
        </w:rPr>
        <w:footnoteReference w:id="1"/>
      </w:r>
      <w:r w:rsidR="002A1F80" w:rsidRPr="00AC4B57">
        <w:rPr>
          <w:rFonts w:ascii="Calibri" w:hAnsi="Calibri" w:cs="Calibri"/>
        </w:rPr>
        <w:t>,</w:t>
      </w:r>
      <w:r w:rsidRPr="00874680">
        <w:rPr>
          <w:rFonts w:ascii="Calibri" w:hAnsi="Calibri" w:cs="Calibri"/>
          <w:sz w:val="24"/>
          <w:szCs w:val="24"/>
        </w:rPr>
        <w:t xml:space="preserve"> respecto al total del Sistema, se sitúa en </w:t>
      </w:r>
      <w:proofErr w:type="gramStart"/>
      <w:r w:rsidRPr="00874680">
        <w:rPr>
          <w:rFonts w:ascii="Calibri" w:hAnsi="Calibri" w:cs="Calibri"/>
          <w:sz w:val="24"/>
          <w:szCs w:val="24"/>
        </w:rPr>
        <w:t>Junio</w:t>
      </w:r>
      <w:proofErr w:type="gramEnd"/>
      <w:r w:rsidRPr="00874680">
        <w:rPr>
          <w:rFonts w:ascii="Calibri" w:hAnsi="Calibri" w:cs="Calibri"/>
          <w:sz w:val="24"/>
          <w:szCs w:val="24"/>
        </w:rPr>
        <w:t xml:space="preserve"> en los ejercicios 2022 y 2023, en un </w:t>
      </w:r>
      <w:r w:rsidRPr="00874680">
        <w:rPr>
          <w:rFonts w:ascii="Calibri" w:hAnsi="Calibri" w:cs="Calibri"/>
          <w:b/>
          <w:bCs/>
          <w:sz w:val="24"/>
          <w:szCs w:val="24"/>
        </w:rPr>
        <w:t>99,98%</w:t>
      </w:r>
      <w:r w:rsidRPr="00874680">
        <w:rPr>
          <w:rFonts w:ascii="Calibri" w:hAnsi="Calibri" w:cs="Calibri"/>
          <w:sz w:val="24"/>
          <w:szCs w:val="24"/>
        </w:rPr>
        <w:t xml:space="preserve">. El total de </w:t>
      </w:r>
      <w:r w:rsidRPr="00874680">
        <w:rPr>
          <w:rFonts w:ascii="Calibri" w:hAnsi="Calibri" w:cs="Calibri"/>
          <w:b/>
          <w:bCs/>
          <w:sz w:val="24"/>
          <w:szCs w:val="24"/>
        </w:rPr>
        <w:t>trabajadores</w:t>
      </w:r>
      <w:r w:rsidRPr="00874680">
        <w:rPr>
          <w:rFonts w:ascii="Calibri" w:hAnsi="Calibri" w:cs="Calibri"/>
          <w:sz w:val="24"/>
          <w:szCs w:val="24"/>
        </w:rPr>
        <w:t xml:space="preserve"> </w:t>
      </w:r>
      <w:r w:rsidRPr="00874680">
        <w:rPr>
          <w:rFonts w:ascii="Calibri" w:hAnsi="Calibri" w:cs="Calibri"/>
          <w:b/>
          <w:bCs/>
          <w:sz w:val="24"/>
          <w:szCs w:val="24"/>
        </w:rPr>
        <w:t>autónomos</w:t>
      </w:r>
      <w:r w:rsidRPr="00874680">
        <w:rPr>
          <w:rFonts w:ascii="Calibri" w:hAnsi="Calibri" w:cs="Calibri"/>
          <w:sz w:val="24"/>
          <w:szCs w:val="24"/>
        </w:rPr>
        <w:t xml:space="preserve"> afiliados por esta contingencia ha pasado de 3.237.167 en </w:t>
      </w:r>
      <w:proofErr w:type="gramStart"/>
      <w:r w:rsidRPr="00874680">
        <w:rPr>
          <w:rFonts w:ascii="Calibri" w:hAnsi="Calibri" w:cs="Calibri"/>
          <w:sz w:val="24"/>
          <w:szCs w:val="24"/>
        </w:rPr>
        <w:t>Junio</w:t>
      </w:r>
      <w:proofErr w:type="gramEnd"/>
      <w:r w:rsidRPr="00874680">
        <w:rPr>
          <w:rFonts w:ascii="Calibri" w:hAnsi="Calibri" w:cs="Calibri"/>
          <w:sz w:val="24"/>
          <w:szCs w:val="24"/>
        </w:rPr>
        <w:t xml:space="preserve"> de 2022 a </w:t>
      </w:r>
      <w:r w:rsidRPr="00874680">
        <w:rPr>
          <w:rFonts w:ascii="Calibri" w:hAnsi="Calibri" w:cs="Calibri"/>
          <w:b/>
          <w:bCs/>
          <w:sz w:val="24"/>
          <w:szCs w:val="24"/>
        </w:rPr>
        <w:t>3.239.774</w:t>
      </w:r>
      <w:r w:rsidRPr="00874680">
        <w:rPr>
          <w:rFonts w:ascii="Calibri" w:hAnsi="Calibri" w:cs="Calibri"/>
          <w:sz w:val="24"/>
          <w:szCs w:val="24"/>
        </w:rPr>
        <w:t xml:space="preserve"> en Junio de 2023, con un ligero aumento del 0,08%</w:t>
      </w:r>
      <w:r w:rsidR="00A1217C">
        <w:rPr>
          <w:rFonts w:ascii="Calibri" w:hAnsi="Calibri" w:cs="Calibri"/>
          <w:sz w:val="24"/>
          <w:szCs w:val="24"/>
        </w:rPr>
        <w:t>.</w:t>
      </w:r>
    </w:p>
    <w:p w14:paraId="1A442E7D" w14:textId="2C1EA8E1" w:rsidR="00874680" w:rsidRDefault="00874680">
      <w:pPr>
        <w:rPr>
          <w:rFonts w:eastAsia="Times New Roman" w:cstheme="minorHAnsi"/>
          <w:sz w:val="24"/>
          <w:szCs w:val="24"/>
          <w:lang w:eastAsia="es-ES"/>
        </w:rPr>
      </w:pPr>
      <w:r>
        <w:rPr>
          <w:rFonts w:eastAsia="Times New Roman" w:cstheme="minorHAnsi"/>
          <w:sz w:val="24"/>
          <w:szCs w:val="24"/>
          <w:lang w:eastAsia="es-ES"/>
        </w:rPr>
        <w:br w:type="page"/>
      </w:r>
    </w:p>
    <w:tbl>
      <w:tblPr>
        <w:tblW w:w="9160" w:type="dxa"/>
        <w:jc w:val="center"/>
        <w:tblCellMar>
          <w:left w:w="70" w:type="dxa"/>
          <w:right w:w="70" w:type="dxa"/>
        </w:tblCellMar>
        <w:tblLook w:val="04A0" w:firstRow="1" w:lastRow="0" w:firstColumn="1" w:lastColumn="0" w:noHBand="0" w:noVBand="1"/>
      </w:tblPr>
      <w:tblGrid>
        <w:gridCol w:w="2720"/>
        <w:gridCol w:w="1120"/>
        <w:gridCol w:w="1300"/>
        <w:gridCol w:w="1160"/>
        <w:gridCol w:w="1740"/>
        <w:gridCol w:w="1120"/>
      </w:tblGrid>
      <w:tr w:rsidR="00BC3A22" w:rsidRPr="00F33DBE" w14:paraId="2985E576" w14:textId="77777777" w:rsidTr="0061027D">
        <w:trPr>
          <w:trHeight w:val="283"/>
          <w:jc w:val="center"/>
        </w:trPr>
        <w:tc>
          <w:tcPr>
            <w:tcW w:w="2720" w:type="dxa"/>
            <w:tcBorders>
              <w:top w:val="nil"/>
              <w:left w:val="nil"/>
              <w:bottom w:val="nil"/>
              <w:right w:val="single" w:sz="8" w:space="0" w:color="2E74B5" w:themeColor="accent1" w:themeShade="BF"/>
            </w:tcBorders>
            <w:shd w:val="clear" w:color="000000" w:fill="FFFFFF"/>
            <w:noWrap/>
            <w:vAlign w:val="bottom"/>
            <w:hideMark/>
          </w:tcPr>
          <w:p w14:paraId="3C480EAC" w14:textId="77777777" w:rsidR="0056694D" w:rsidRPr="00F33DBE" w:rsidRDefault="0056694D" w:rsidP="00AF71A0">
            <w:pPr>
              <w:spacing w:after="0" w:line="240" w:lineRule="auto"/>
              <w:rPr>
                <w:rFonts w:eastAsia="Times New Roman" w:cstheme="minorHAnsi"/>
                <w:sz w:val="20"/>
                <w:szCs w:val="20"/>
                <w:lang w:eastAsia="es-ES"/>
              </w:rPr>
            </w:pPr>
            <w:r w:rsidRPr="00F33DBE">
              <w:rPr>
                <w:rFonts w:eastAsia="Times New Roman" w:cstheme="minorHAnsi"/>
                <w:sz w:val="20"/>
                <w:szCs w:val="20"/>
                <w:lang w:eastAsia="es-ES"/>
              </w:rPr>
              <w:t> </w:t>
            </w:r>
          </w:p>
        </w:tc>
        <w:tc>
          <w:tcPr>
            <w:tcW w:w="6440" w:type="dxa"/>
            <w:gridSpan w:val="5"/>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vAlign w:val="center"/>
            <w:hideMark/>
          </w:tcPr>
          <w:p w14:paraId="3367A085"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EMPRESAS</w:t>
            </w:r>
          </w:p>
        </w:tc>
      </w:tr>
      <w:tr w:rsidR="00BC3A22" w:rsidRPr="00F33DBE" w14:paraId="025C3F76" w14:textId="77777777" w:rsidTr="00AF71A0">
        <w:trPr>
          <w:trHeight w:val="630"/>
          <w:jc w:val="center"/>
        </w:trPr>
        <w:tc>
          <w:tcPr>
            <w:tcW w:w="2720" w:type="dxa"/>
            <w:tcBorders>
              <w:top w:val="nil"/>
              <w:left w:val="nil"/>
              <w:bottom w:val="nil"/>
              <w:right w:val="single" w:sz="6" w:space="0" w:color="2E74B5" w:themeColor="accent1" w:themeShade="BF"/>
            </w:tcBorders>
            <w:shd w:val="clear" w:color="000000" w:fill="FFFFFF"/>
            <w:noWrap/>
            <w:vAlign w:val="bottom"/>
            <w:hideMark/>
          </w:tcPr>
          <w:p w14:paraId="10C09CDD" w14:textId="77777777" w:rsidR="0056694D" w:rsidRPr="00F33DBE" w:rsidRDefault="0056694D" w:rsidP="00AF71A0">
            <w:pPr>
              <w:spacing w:after="0" w:line="240" w:lineRule="auto"/>
              <w:rPr>
                <w:rFonts w:eastAsia="Times New Roman" w:cstheme="minorHAnsi"/>
                <w:sz w:val="20"/>
                <w:szCs w:val="20"/>
                <w:lang w:eastAsia="es-ES"/>
              </w:rPr>
            </w:pPr>
            <w:r w:rsidRPr="00F33DBE">
              <w:rPr>
                <w:rFonts w:eastAsia="Times New Roman" w:cstheme="minorHAnsi"/>
                <w:sz w:val="20"/>
                <w:szCs w:val="20"/>
                <w:lang w:eastAsia="es-ES"/>
              </w:rPr>
              <w:t> </w:t>
            </w:r>
          </w:p>
        </w:tc>
        <w:tc>
          <w:tcPr>
            <w:tcW w:w="1120" w:type="dxa"/>
            <w:tcBorders>
              <w:top w:val="single" w:sz="6" w:space="0" w:color="2E74B5" w:themeColor="accent1" w:themeShade="BF"/>
              <w:left w:val="single" w:sz="6" w:space="0" w:color="2E74B5" w:themeColor="accent1" w:themeShade="BF"/>
              <w:bottom w:val="single" w:sz="4" w:space="0" w:color="2E74B5" w:themeColor="accent1" w:themeShade="BF"/>
              <w:right w:val="single" w:sz="4" w:space="0" w:color="2E74B5" w:themeColor="accent1" w:themeShade="BF"/>
            </w:tcBorders>
            <w:shd w:val="clear" w:color="auto" w:fill="16365E"/>
            <w:vAlign w:val="center"/>
            <w:hideMark/>
          </w:tcPr>
          <w:p w14:paraId="484E7837"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MUTUAS</w:t>
            </w:r>
          </w:p>
        </w:tc>
        <w:tc>
          <w:tcPr>
            <w:tcW w:w="1300" w:type="dxa"/>
            <w:tcBorders>
              <w:top w:val="single" w:sz="6" w:space="0" w:color="2E74B5" w:themeColor="accent1" w:themeShade="BF"/>
              <w:left w:val="single" w:sz="4" w:space="0" w:color="2E74B5" w:themeColor="accent1" w:themeShade="BF"/>
              <w:bottom w:val="single" w:sz="4" w:space="0" w:color="2E74B5" w:themeColor="accent1" w:themeShade="BF"/>
              <w:right w:val="single" w:sz="6" w:space="0" w:color="2E74B5" w:themeColor="accent1" w:themeShade="BF"/>
            </w:tcBorders>
            <w:shd w:val="clear" w:color="auto" w:fill="16365E"/>
            <w:vAlign w:val="center"/>
            <w:hideMark/>
          </w:tcPr>
          <w:p w14:paraId="0566BD16"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 MUTUAS S/T.SIST.</w:t>
            </w:r>
          </w:p>
        </w:tc>
        <w:tc>
          <w:tcPr>
            <w:tcW w:w="1160" w:type="dxa"/>
            <w:tcBorders>
              <w:top w:val="single" w:sz="8" w:space="0" w:color="2E74B5" w:themeColor="accent1" w:themeShade="BF"/>
              <w:left w:val="single" w:sz="6" w:space="0" w:color="2E74B5" w:themeColor="accent1" w:themeShade="BF"/>
              <w:bottom w:val="single" w:sz="8" w:space="0" w:color="2E74B5" w:themeColor="accent1" w:themeShade="BF"/>
              <w:right w:val="single" w:sz="8" w:space="0" w:color="2E74B5" w:themeColor="accent1" w:themeShade="BF"/>
            </w:tcBorders>
            <w:shd w:val="clear" w:color="auto" w:fill="16365E"/>
            <w:vAlign w:val="center"/>
            <w:hideMark/>
          </w:tcPr>
          <w:p w14:paraId="5170A612"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RESTO SISTEMA</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vAlign w:val="center"/>
            <w:hideMark/>
          </w:tcPr>
          <w:p w14:paraId="699FD967"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 RESTO SISTEMA S/T.SIST.</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vAlign w:val="center"/>
            <w:hideMark/>
          </w:tcPr>
          <w:p w14:paraId="34642E98"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TOTAL SISTEMA</w:t>
            </w:r>
          </w:p>
        </w:tc>
      </w:tr>
      <w:tr w:rsidR="00A1217C" w:rsidRPr="00F33DBE" w14:paraId="7DBFDC07" w14:textId="77777777" w:rsidTr="00702554">
        <w:trPr>
          <w:trHeight w:val="300"/>
          <w:jc w:val="center"/>
        </w:trPr>
        <w:tc>
          <w:tcPr>
            <w:tcW w:w="2720" w:type="dxa"/>
            <w:tcBorders>
              <w:top w:val="single" w:sz="8" w:space="0" w:color="FFFFFF"/>
              <w:left w:val="single" w:sz="8" w:space="0" w:color="FFFFFF"/>
              <w:bottom w:val="single" w:sz="8" w:space="0" w:color="FFFFFF"/>
              <w:right w:val="single" w:sz="6" w:space="0" w:color="2E74B5" w:themeColor="accent1" w:themeShade="BF"/>
            </w:tcBorders>
            <w:shd w:val="clear" w:color="auto" w:fill="16365E"/>
            <w:noWrap/>
            <w:vAlign w:val="center"/>
            <w:hideMark/>
          </w:tcPr>
          <w:p w14:paraId="27FB34DC" w14:textId="484BD46B" w:rsidR="00A1217C" w:rsidRPr="00F33DBE" w:rsidRDefault="00A1217C" w:rsidP="00A1217C">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Régimen General</w:t>
            </w:r>
            <w:r>
              <w:rPr>
                <w:rFonts w:eastAsia="Times New Roman" w:cstheme="minorHAnsi"/>
                <w:b/>
                <w:bCs/>
                <w:sz w:val="20"/>
                <w:szCs w:val="20"/>
                <w:lang w:eastAsia="es-ES"/>
              </w:rPr>
              <w:t xml:space="preserve"> </w:t>
            </w:r>
            <w:r w:rsidRPr="00F33DBE">
              <w:rPr>
                <w:rFonts w:eastAsia="Times New Roman" w:cstheme="minorHAnsi"/>
                <w:b/>
                <w:bCs/>
                <w:sz w:val="20"/>
                <w:szCs w:val="20"/>
                <w:lang w:eastAsia="es-ES"/>
              </w:rPr>
              <w:t>(*)</w:t>
            </w:r>
          </w:p>
        </w:tc>
        <w:tc>
          <w:tcPr>
            <w:tcW w:w="1120" w:type="dxa"/>
            <w:tcBorders>
              <w:top w:val="single" w:sz="4" w:space="0" w:color="2E74B5" w:themeColor="accent1" w:themeShade="BF"/>
              <w:left w:val="single" w:sz="6" w:space="0" w:color="2E74B5" w:themeColor="accent1" w:themeShade="BF"/>
              <w:bottom w:val="single" w:sz="4" w:space="0" w:color="2E74B5" w:themeColor="accent1" w:themeShade="BF"/>
              <w:right w:val="single" w:sz="4" w:space="0" w:color="2E74B5" w:themeColor="accent1" w:themeShade="BF"/>
            </w:tcBorders>
            <w:shd w:val="clear" w:color="000000" w:fill="F2F2F2"/>
            <w:noWrap/>
            <w:vAlign w:val="center"/>
            <w:hideMark/>
          </w:tcPr>
          <w:p w14:paraId="6B27AF18" w14:textId="44DD4CE4"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1.432.308</w:t>
            </w:r>
          </w:p>
        </w:tc>
        <w:tc>
          <w:tcPr>
            <w:tcW w:w="1300" w:type="dxa"/>
            <w:tcBorders>
              <w:top w:val="single" w:sz="4" w:space="0" w:color="2E74B5" w:themeColor="accent1" w:themeShade="BF"/>
              <w:left w:val="single" w:sz="4" w:space="0" w:color="2E74B5" w:themeColor="accent1" w:themeShade="BF"/>
              <w:bottom w:val="single" w:sz="4" w:space="0" w:color="2E74B5" w:themeColor="accent1" w:themeShade="BF"/>
              <w:right w:val="single" w:sz="6" w:space="0" w:color="2E74B5" w:themeColor="accent1" w:themeShade="BF"/>
            </w:tcBorders>
            <w:shd w:val="clear" w:color="000000" w:fill="F2F2F2"/>
            <w:noWrap/>
            <w:vAlign w:val="center"/>
            <w:hideMark/>
          </w:tcPr>
          <w:p w14:paraId="6C750E06" w14:textId="1F029706"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98,92</w:t>
            </w:r>
          </w:p>
        </w:tc>
        <w:tc>
          <w:tcPr>
            <w:tcW w:w="1160" w:type="dxa"/>
            <w:tcBorders>
              <w:top w:val="single" w:sz="8" w:space="0" w:color="2E74B5" w:themeColor="accent1" w:themeShade="BF"/>
              <w:left w:val="single" w:sz="6"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hideMark/>
          </w:tcPr>
          <w:p w14:paraId="61A7E201" w14:textId="63A5B0C8"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15.611</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hideMark/>
          </w:tcPr>
          <w:p w14:paraId="00963AE0" w14:textId="37E3B126"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1,08</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hideMark/>
          </w:tcPr>
          <w:p w14:paraId="1E5D562E" w14:textId="3D1C366C"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1.447.919</w:t>
            </w:r>
          </w:p>
        </w:tc>
      </w:tr>
      <w:tr w:rsidR="00A1217C" w:rsidRPr="00F33DBE" w14:paraId="75B09881" w14:textId="77777777" w:rsidTr="00702554">
        <w:trPr>
          <w:trHeight w:val="300"/>
          <w:jc w:val="center"/>
        </w:trPr>
        <w:tc>
          <w:tcPr>
            <w:tcW w:w="2720" w:type="dxa"/>
            <w:tcBorders>
              <w:top w:val="nil"/>
              <w:left w:val="single" w:sz="8" w:space="0" w:color="FFFFFF"/>
              <w:bottom w:val="single" w:sz="8" w:space="0" w:color="FFFFFF"/>
              <w:right w:val="single" w:sz="6" w:space="0" w:color="2E74B5" w:themeColor="accent1" w:themeShade="BF"/>
            </w:tcBorders>
            <w:shd w:val="clear" w:color="auto" w:fill="16365E"/>
            <w:noWrap/>
            <w:vAlign w:val="center"/>
            <w:hideMark/>
          </w:tcPr>
          <w:p w14:paraId="44690286" w14:textId="77777777" w:rsidR="00A1217C" w:rsidRPr="00F33DBE" w:rsidRDefault="00A1217C" w:rsidP="00A1217C">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Régimen del Mar</w:t>
            </w:r>
          </w:p>
        </w:tc>
        <w:tc>
          <w:tcPr>
            <w:tcW w:w="1120" w:type="dxa"/>
            <w:tcBorders>
              <w:top w:val="single" w:sz="4" w:space="0" w:color="2E74B5" w:themeColor="accent1" w:themeShade="BF"/>
              <w:left w:val="single" w:sz="6" w:space="0" w:color="2E74B5" w:themeColor="accent1" w:themeShade="BF"/>
              <w:bottom w:val="single" w:sz="4" w:space="0" w:color="2E74B5" w:themeColor="accent1" w:themeShade="BF"/>
              <w:right w:val="single" w:sz="4" w:space="0" w:color="2E74B5" w:themeColor="accent1" w:themeShade="BF"/>
            </w:tcBorders>
            <w:shd w:val="clear" w:color="000000" w:fill="F2F2F2"/>
            <w:noWrap/>
            <w:vAlign w:val="center"/>
            <w:hideMark/>
          </w:tcPr>
          <w:p w14:paraId="0B92A839" w14:textId="5D245381"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6.374</w:t>
            </w:r>
          </w:p>
        </w:tc>
        <w:tc>
          <w:tcPr>
            <w:tcW w:w="1300" w:type="dxa"/>
            <w:tcBorders>
              <w:top w:val="single" w:sz="4" w:space="0" w:color="2E74B5" w:themeColor="accent1" w:themeShade="BF"/>
              <w:left w:val="single" w:sz="4" w:space="0" w:color="2E74B5" w:themeColor="accent1" w:themeShade="BF"/>
              <w:bottom w:val="single" w:sz="4" w:space="0" w:color="2E74B5" w:themeColor="accent1" w:themeShade="BF"/>
              <w:right w:val="single" w:sz="6" w:space="0" w:color="2E74B5" w:themeColor="accent1" w:themeShade="BF"/>
            </w:tcBorders>
            <w:shd w:val="clear" w:color="000000" w:fill="F2F2F2"/>
            <w:noWrap/>
            <w:vAlign w:val="center"/>
            <w:hideMark/>
          </w:tcPr>
          <w:p w14:paraId="144C4882" w14:textId="1E0B19F6"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82,17</w:t>
            </w:r>
          </w:p>
        </w:tc>
        <w:tc>
          <w:tcPr>
            <w:tcW w:w="1160" w:type="dxa"/>
            <w:tcBorders>
              <w:top w:val="single" w:sz="8" w:space="0" w:color="2E74B5" w:themeColor="accent1" w:themeShade="BF"/>
              <w:left w:val="single" w:sz="6"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hideMark/>
          </w:tcPr>
          <w:p w14:paraId="4D8666BD" w14:textId="466F6481"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1.383</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hideMark/>
          </w:tcPr>
          <w:p w14:paraId="38202D63" w14:textId="61B4138C"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17,83</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hideMark/>
          </w:tcPr>
          <w:p w14:paraId="457A08CE" w14:textId="51705268"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7.757</w:t>
            </w:r>
          </w:p>
        </w:tc>
      </w:tr>
      <w:tr w:rsidR="00A1217C" w:rsidRPr="00F33DBE" w14:paraId="613C60E2" w14:textId="77777777" w:rsidTr="00702554">
        <w:trPr>
          <w:trHeight w:val="300"/>
          <w:jc w:val="center"/>
        </w:trPr>
        <w:tc>
          <w:tcPr>
            <w:tcW w:w="2720" w:type="dxa"/>
            <w:tcBorders>
              <w:top w:val="nil"/>
              <w:left w:val="single" w:sz="8" w:space="0" w:color="FFFFFF"/>
              <w:bottom w:val="single" w:sz="8" w:space="0" w:color="FFFFFF"/>
              <w:right w:val="single" w:sz="6" w:space="0" w:color="2E74B5" w:themeColor="accent1" w:themeShade="BF"/>
            </w:tcBorders>
            <w:shd w:val="clear" w:color="auto" w:fill="16365E"/>
            <w:noWrap/>
            <w:vAlign w:val="center"/>
            <w:hideMark/>
          </w:tcPr>
          <w:p w14:paraId="12D78C9E" w14:textId="77777777" w:rsidR="00A1217C" w:rsidRPr="00F33DBE" w:rsidRDefault="00A1217C" w:rsidP="00A1217C">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Régimen del Carbón</w:t>
            </w:r>
          </w:p>
        </w:tc>
        <w:tc>
          <w:tcPr>
            <w:tcW w:w="1120" w:type="dxa"/>
            <w:tcBorders>
              <w:top w:val="single" w:sz="4" w:space="0" w:color="2E74B5" w:themeColor="accent1" w:themeShade="BF"/>
              <w:left w:val="single" w:sz="6" w:space="0" w:color="2E74B5" w:themeColor="accent1" w:themeShade="BF"/>
              <w:bottom w:val="single" w:sz="6" w:space="0" w:color="2E74B5" w:themeColor="accent1" w:themeShade="BF"/>
              <w:right w:val="single" w:sz="4" w:space="0" w:color="2E74B5" w:themeColor="accent1" w:themeShade="BF"/>
            </w:tcBorders>
            <w:shd w:val="clear" w:color="000000" w:fill="F2F2F2"/>
            <w:noWrap/>
            <w:vAlign w:val="center"/>
            <w:hideMark/>
          </w:tcPr>
          <w:p w14:paraId="723A57B2" w14:textId="382EE020"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19</w:t>
            </w:r>
          </w:p>
        </w:tc>
        <w:tc>
          <w:tcPr>
            <w:tcW w:w="1300" w:type="dxa"/>
            <w:tcBorders>
              <w:top w:val="single" w:sz="4" w:space="0" w:color="2E74B5" w:themeColor="accent1" w:themeShade="BF"/>
              <w:left w:val="single" w:sz="4" w:space="0" w:color="2E74B5" w:themeColor="accent1" w:themeShade="BF"/>
              <w:bottom w:val="single" w:sz="6" w:space="0" w:color="2E74B5" w:themeColor="accent1" w:themeShade="BF"/>
              <w:right w:val="single" w:sz="6" w:space="0" w:color="2E74B5" w:themeColor="accent1" w:themeShade="BF"/>
            </w:tcBorders>
            <w:shd w:val="clear" w:color="000000" w:fill="F2F2F2"/>
            <w:noWrap/>
            <w:vAlign w:val="center"/>
            <w:hideMark/>
          </w:tcPr>
          <w:p w14:paraId="434340C0" w14:textId="658FCAC8"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86,36</w:t>
            </w:r>
          </w:p>
        </w:tc>
        <w:tc>
          <w:tcPr>
            <w:tcW w:w="1160" w:type="dxa"/>
            <w:tcBorders>
              <w:top w:val="single" w:sz="8" w:space="0" w:color="2E74B5" w:themeColor="accent1" w:themeShade="BF"/>
              <w:left w:val="single" w:sz="6"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hideMark/>
          </w:tcPr>
          <w:p w14:paraId="0617CD9C" w14:textId="74BE9151"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3</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hideMark/>
          </w:tcPr>
          <w:p w14:paraId="5A379490" w14:textId="38593FE8"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13,64</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hideMark/>
          </w:tcPr>
          <w:p w14:paraId="214B4FAD" w14:textId="30C32449"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22</w:t>
            </w:r>
          </w:p>
        </w:tc>
      </w:tr>
      <w:tr w:rsidR="00A1217C" w:rsidRPr="00F33DBE" w14:paraId="7B7B337F" w14:textId="77777777" w:rsidTr="00ED25D3">
        <w:trPr>
          <w:trHeight w:val="300"/>
          <w:jc w:val="center"/>
        </w:trPr>
        <w:tc>
          <w:tcPr>
            <w:tcW w:w="2720" w:type="dxa"/>
            <w:tcBorders>
              <w:top w:val="single" w:sz="8" w:space="0" w:color="FFFFFF"/>
              <w:left w:val="single" w:sz="8" w:space="0" w:color="FFFFFF"/>
              <w:bottom w:val="single" w:sz="8" w:space="0" w:color="FFFFFF"/>
              <w:right w:val="single" w:sz="8" w:space="0" w:color="2E74B5" w:themeColor="accent1" w:themeShade="BF"/>
            </w:tcBorders>
            <w:shd w:val="clear" w:color="auto" w:fill="16365E"/>
            <w:noWrap/>
            <w:vAlign w:val="center"/>
            <w:hideMark/>
          </w:tcPr>
          <w:p w14:paraId="645DB16A" w14:textId="29BE201A" w:rsidR="00A1217C" w:rsidRPr="00F33DBE" w:rsidRDefault="00A1217C" w:rsidP="00A1217C">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TOTAL REGÍMENES</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hideMark/>
          </w:tcPr>
          <w:p w14:paraId="796C1E40" w14:textId="789E6CB6" w:rsidR="00A1217C" w:rsidRPr="00A1217C" w:rsidRDefault="00A1217C" w:rsidP="00A1217C">
            <w:pPr>
              <w:autoSpaceDE w:val="0"/>
              <w:autoSpaceDN w:val="0"/>
              <w:adjustRightInd w:val="0"/>
              <w:spacing w:after="0" w:line="240" w:lineRule="auto"/>
              <w:jc w:val="right"/>
              <w:rPr>
                <w:b/>
                <w:bCs/>
                <w:sz w:val="20"/>
                <w:szCs w:val="20"/>
              </w:rPr>
            </w:pPr>
            <w:r w:rsidRPr="00A1217C">
              <w:rPr>
                <w:b/>
                <w:bCs/>
                <w:sz w:val="20"/>
                <w:szCs w:val="20"/>
              </w:rPr>
              <w:t>1.438.701</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hideMark/>
          </w:tcPr>
          <w:p w14:paraId="43D168EC" w14:textId="2FE18543" w:rsidR="00A1217C" w:rsidRPr="00A1217C" w:rsidRDefault="00A1217C" w:rsidP="00A1217C">
            <w:pPr>
              <w:autoSpaceDE w:val="0"/>
              <w:autoSpaceDN w:val="0"/>
              <w:adjustRightInd w:val="0"/>
              <w:spacing w:after="0" w:line="240" w:lineRule="auto"/>
              <w:jc w:val="center"/>
              <w:rPr>
                <w:b/>
                <w:bCs/>
                <w:sz w:val="20"/>
                <w:szCs w:val="20"/>
              </w:rPr>
            </w:pPr>
            <w:r w:rsidRPr="00A1217C">
              <w:rPr>
                <w:b/>
                <w:bCs/>
                <w:sz w:val="20"/>
                <w:szCs w:val="20"/>
              </w:rPr>
              <w:t>98,83</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hideMark/>
          </w:tcPr>
          <w:p w14:paraId="53B30052" w14:textId="26C4A252" w:rsidR="00A1217C" w:rsidRPr="00A1217C" w:rsidRDefault="00A1217C" w:rsidP="00A1217C">
            <w:pPr>
              <w:autoSpaceDE w:val="0"/>
              <w:autoSpaceDN w:val="0"/>
              <w:adjustRightInd w:val="0"/>
              <w:spacing w:after="0" w:line="240" w:lineRule="auto"/>
              <w:jc w:val="right"/>
              <w:rPr>
                <w:b/>
                <w:bCs/>
                <w:sz w:val="20"/>
                <w:szCs w:val="20"/>
              </w:rPr>
            </w:pPr>
            <w:r w:rsidRPr="00A1217C">
              <w:rPr>
                <w:b/>
                <w:bCs/>
                <w:sz w:val="20"/>
                <w:szCs w:val="20"/>
              </w:rPr>
              <w:t>16.997</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hideMark/>
          </w:tcPr>
          <w:p w14:paraId="15203AC9" w14:textId="267BF1EC" w:rsidR="00A1217C" w:rsidRPr="00A1217C" w:rsidRDefault="00A1217C" w:rsidP="00A1217C">
            <w:pPr>
              <w:autoSpaceDE w:val="0"/>
              <w:autoSpaceDN w:val="0"/>
              <w:adjustRightInd w:val="0"/>
              <w:spacing w:after="0" w:line="240" w:lineRule="auto"/>
              <w:jc w:val="center"/>
              <w:rPr>
                <w:b/>
                <w:bCs/>
                <w:sz w:val="20"/>
                <w:szCs w:val="20"/>
              </w:rPr>
            </w:pPr>
            <w:r w:rsidRPr="00A1217C">
              <w:rPr>
                <w:b/>
                <w:bCs/>
                <w:sz w:val="20"/>
                <w:szCs w:val="20"/>
              </w:rPr>
              <w:t>1,17</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hideMark/>
          </w:tcPr>
          <w:p w14:paraId="107BE134" w14:textId="2A72D40F" w:rsidR="00A1217C" w:rsidRPr="00A1217C" w:rsidRDefault="00A1217C" w:rsidP="00A1217C">
            <w:pPr>
              <w:autoSpaceDE w:val="0"/>
              <w:autoSpaceDN w:val="0"/>
              <w:adjustRightInd w:val="0"/>
              <w:spacing w:after="0" w:line="240" w:lineRule="auto"/>
              <w:jc w:val="right"/>
              <w:rPr>
                <w:b/>
                <w:bCs/>
                <w:sz w:val="20"/>
                <w:szCs w:val="20"/>
              </w:rPr>
            </w:pPr>
            <w:r w:rsidRPr="00A1217C">
              <w:rPr>
                <w:b/>
                <w:bCs/>
                <w:sz w:val="20"/>
                <w:szCs w:val="20"/>
              </w:rPr>
              <w:t>1.455.698</w:t>
            </w:r>
          </w:p>
        </w:tc>
      </w:tr>
    </w:tbl>
    <w:p w14:paraId="5683BB60" w14:textId="77777777" w:rsidR="00DB754C" w:rsidRPr="000F4DB1" w:rsidRDefault="00DB754C" w:rsidP="00DB754C">
      <w:pPr>
        <w:rPr>
          <w:rFonts w:cstheme="minorHAnsi"/>
          <w:sz w:val="14"/>
          <w:szCs w:val="14"/>
        </w:rPr>
      </w:pPr>
      <w:r w:rsidRPr="000F4DB1">
        <w:rPr>
          <w:rFonts w:cstheme="minorHAnsi"/>
          <w:b/>
          <w:bCs/>
          <w:sz w:val="14"/>
          <w:szCs w:val="14"/>
        </w:rPr>
        <w:t>Fuente:</w:t>
      </w:r>
      <w:r>
        <w:rPr>
          <w:rFonts w:cstheme="minorHAnsi"/>
          <w:b/>
          <w:bCs/>
          <w:sz w:val="14"/>
          <w:szCs w:val="14"/>
        </w:rPr>
        <w:t xml:space="preserve"> </w:t>
      </w:r>
      <w:r w:rsidRPr="000F4DB1">
        <w:rPr>
          <w:rFonts w:cstheme="minorHAnsi"/>
          <w:sz w:val="14"/>
          <w:szCs w:val="14"/>
        </w:rPr>
        <w:t xml:space="preserve">Tesorería General de la Seguridad Social. </w:t>
      </w:r>
    </w:p>
    <w:p w14:paraId="1DA03195" w14:textId="1C57A327" w:rsidR="00686A52" w:rsidRDefault="0056694D" w:rsidP="00686A52">
      <w:pPr>
        <w:rPr>
          <w:rFonts w:cstheme="minorHAnsi"/>
          <w:sz w:val="14"/>
          <w:szCs w:val="14"/>
        </w:rPr>
      </w:pPr>
      <w:r w:rsidRPr="00686A52">
        <w:rPr>
          <w:rFonts w:cstheme="minorHAnsi"/>
          <w:sz w:val="14"/>
          <w:szCs w:val="14"/>
        </w:rPr>
        <w:t xml:space="preserve">(*) </w:t>
      </w:r>
      <w:r w:rsidR="00686A52" w:rsidRPr="00686A52">
        <w:rPr>
          <w:rFonts w:cstheme="minorHAnsi"/>
          <w:b/>
          <w:bCs/>
          <w:sz w:val="14"/>
          <w:szCs w:val="14"/>
        </w:rPr>
        <w:t>Nota</w:t>
      </w:r>
      <w:r w:rsidR="00686A52" w:rsidRPr="00686A52">
        <w:rPr>
          <w:rFonts w:cstheme="minorHAnsi"/>
          <w:sz w:val="14"/>
          <w:szCs w:val="14"/>
        </w:rPr>
        <w:t>: Excluido</w:t>
      </w:r>
      <w:r w:rsidR="003057FE">
        <w:rPr>
          <w:rFonts w:cstheme="minorHAnsi"/>
          <w:sz w:val="14"/>
          <w:szCs w:val="14"/>
        </w:rPr>
        <w:t>s</w:t>
      </w:r>
      <w:r w:rsidR="00686A52" w:rsidRPr="00686A52">
        <w:rPr>
          <w:rFonts w:cstheme="minorHAnsi"/>
          <w:sz w:val="14"/>
          <w:szCs w:val="14"/>
        </w:rPr>
        <w:t xml:space="preserve"> </w:t>
      </w:r>
      <w:r w:rsidR="003057FE">
        <w:rPr>
          <w:rFonts w:cstheme="minorHAnsi"/>
          <w:sz w:val="14"/>
          <w:szCs w:val="14"/>
        </w:rPr>
        <w:t>los Sistemas Especiales Agrario y de Empleados del Hogar del Régimen General en tanto no se desarrollen los nuevos criterios de contabilización de afiliados de dichos Sistemas Especiales.</w:t>
      </w:r>
    </w:p>
    <w:p w14:paraId="1CC89AD4" w14:textId="77777777" w:rsidR="00C82735" w:rsidRPr="00BC3A22" w:rsidRDefault="00C82735" w:rsidP="0056694D">
      <w:pPr>
        <w:pStyle w:val="Textoindependiente2"/>
        <w:spacing w:line="340" w:lineRule="atLeast"/>
        <w:rPr>
          <w:rFonts w:asciiTheme="minorHAnsi" w:hAnsiTheme="minorHAnsi" w:cstheme="minorHAnsi"/>
        </w:rPr>
      </w:pPr>
    </w:p>
    <w:tbl>
      <w:tblPr>
        <w:tblW w:w="9221" w:type="dxa"/>
        <w:jc w:val="center"/>
        <w:tblCellMar>
          <w:left w:w="70" w:type="dxa"/>
          <w:right w:w="70" w:type="dxa"/>
        </w:tblCellMar>
        <w:tblLook w:val="04A0" w:firstRow="1" w:lastRow="0" w:firstColumn="1" w:lastColumn="0" w:noHBand="0" w:noVBand="1"/>
      </w:tblPr>
      <w:tblGrid>
        <w:gridCol w:w="2728"/>
        <w:gridCol w:w="1150"/>
        <w:gridCol w:w="1298"/>
        <w:gridCol w:w="1159"/>
        <w:gridCol w:w="1736"/>
        <w:gridCol w:w="1150"/>
      </w:tblGrid>
      <w:tr w:rsidR="00BC3A22" w:rsidRPr="00F33DBE" w14:paraId="3749D20F" w14:textId="77777777" w:rsidTr="0061027D">
        <w:trPr>
          <w:trHeight w:val="340"/>
          <w:jc w:val="center"/>
        </w:trPr>
        <w:tc>
          <w:tcPr>
            <w:tcW w:w="2728" w:type="dxa"/>
            <w:tcBorders>
              <w:top w:val="nil"/>
              <w:left w:val="nil"/>
              <w:bottom w:val="nil"/>
              <w:right w:val="single" w:sz="4" w:space="0" w:color="auto"/>
            </w:tcBorders>
            <w:shd w:val="clear" w:color="000000" w:fill="FFFFFF"/>
            <w:noWrap/>
            <w:vAlign w:val="bottom"/>
            <w:hideMark/>
          </w:tcPr>
          <w:p w14:paraId="0226CF05" w14:textId="77777777" w:rsidR="0056694D" w:rsidRPr="00F33DBE" w:rsidRDefault="0056694D" w:rsidP="00AF71A0">
            <w:pPr>
              <w:spacing w:after="0" w:line="240" w:lineRule="auto"/>
              <w:rPr>
                <w:rFonts w:eastAsia="Times New Roman" w:cstheme="minorHAnsi"/>
                <w:sz w:val="20"/>
                <w:szCs w:val="20"/>
                <w:lang w:eastAsia="es-ES"/>
              </w:rPr>
            </w:pPr>
            <w:r w:rsidRPr="00F33DBE">
              <w:rPr>
                <w:rFonts w:eastAsia="Times New Roman" w:cstheme="minorHAnsi"/>
                <w:sz w:val="20"/>
                <w:szCs w:val="20"/>
                <w:lang w:eastAsia="es-ES"/>
              </w:rPr>
              <w:t> </w:t>
            </w:r>
          </w:p>
        </w:tc>
        <w:tc>
          <w:tcPr>
            <w:tcW w:w="6493" w:type="dxa"/>
            <w:gridSpan w:val="5"/>
            <w:tcBorders>
              <w:top w:val="single" w:sz="4" w:space="0" w:color="auto"/>
              <w:left w:val="single" w:sz="4" w:space="0" w:color="auto"/>
              <w:bottom w:val="single" w:sz="8" w:space="0" w:color="FFFFFF"/>
              <w:right w:val="single" w:sz="4" w:space="0" w:color="auto"/>
            </w:tcBorders>
            <w:shd w:val="clear" w:color="auto" w:fill="16365E"/>
            <w:vAlign w:val="center"/>
            <w:hideMark/>
          </w:tcPr>
          <w:p w14:paraId="25E0AC97"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TRABAJADORES</w:t>
            </w:r>
          </w:p>
        </w:tc>
      </w:tr>
      <w:tr w:rsidR="00BC3A22" w:rsidRPr="00F33DBE" w14:paraId="67F0869F" w14:textId="77777777" w:rsidTr="0056694D">
        <w:trPr>
          <w:trHeight w:val="585"/>
          <w:jc w:val="center"/>
        </w:trPr>
        <w:tc>
          <w:tcPr>
            <w:tcW w:w="2728" w:type="dxa"/>
            <w:tcBorders>
              <w:top w:val="nil"/>
              <w:left w:val="nil"/>
              <w:bottom w:val="nil"/>
              <w:right w:val="single" w:sz="4" w:space="0" w:color="auto"/>
            </w:tcBorders>
            <w:shd w:val="clear" w:color="000000" w:fill="FFFFFF"/>
            <w:noWrap/>
            <w:vAlign w:val="bottom"/>
            <w:hideMark/>
          </w:tcPr>
          <w:p w14:paraId="260C5295" w14:textId="77777777" w:rsidR="0056694D" w:rsidRPr="00F33DBE" w:rsidRDefault="0056694D" w:rsidP="00AF71A0">
            <w:pPr>
              <w:spacing w:after="0" w:line="240" w:lineRule="auto"/>
              <w:rPr>
                <w:rFonts w:eastAsia="Times New Roman" w:cstheme="minorHAnsi"/>
                <w:sz w:val="20"/>
                <w:szCs w:val="20"/>
                <w:lang w:eastAsia="es-ES"/>
              </w:rPr>
            </w:pPr>
            <w:r w:rsidRPr="00F33DBE">
              <w:rPr>
                <w:rFonts w:eastAsia="Times New Roman" w:cstheme="minorHAnsi"/>
                <w:sz w:val="20"/>
                <w:szCs w:val="20"/>
                <w:lang w:eastAsia="es-ES"/>
              </w:rPr>
              <w:t> </w:t>
            </w:r>
          </w:p>
        </w:tc>
        <w:tc>
          <w:tcPr>
            <w:tcW w:w="1150" w:type="dxa"/>
            <w:tcBorders>
              <w:top w:val="nil"/>
              <w:left w:val="single" w:sz="4" w:space="0" w:color="auto"/>
              <w:bottom w:val="single" w:sz="4" w:space="0" w:color="auto"/>
              <w:right w:val="single" w:sz="8" w:space="0" w:color="FFFFFF"/>
            </w:tcBorders>
            <w:shd w:val="clear" w:color="auto" w:fill="16365E"/>
            <w:vAlign w:val="center"/>
            <w:hideMark/>
          </w:tcPr>
          <w:p w14:paraId="41C8DC65"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MUTUAS</w:t>
            </w:r>
          </w:p>
        </w:tc>
        <w:tc>
          <w:tcPr>
            <w:tcW w:w="1298" w:type="dxa"/>
            <w:tcBorders>
              <w:top w:val="nil"/>
              <w:left w:val="nil"/>
              <w:bottom w:val="single" w:sz="4" w:space="0" w:color="auto"/>
              <w:right w:val="single" w:sz="8" w:space="0" w:color="FFFFFF"/>
            </w:tcBorders>
            <w:shd w:val="clear" w:color="auto" w:fill="16365E"/>
            <w:vAlign w:val="center"/>
            <w:hideMark/>
          </w:tcPr>
          <w:p w14:paraId="51BBE65B"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 MUTUAS S/T.SIST.</w:t>
            </w:r>
          </w:p>
        </w:tc>
        <w:tc>
          <w:tcPr>
            <w:tcW w:w="1159" w:type="dxa"/>
            <w:tcBorders>
              <w:top w:val="nil"/>
              <w:left w:val="nil"/>
              <w:bottom w:val="single" w:sz="4" w:space="0" w:color="auto"/>
              <w:right w:val="single" w:sz="8" w:space="0" w:color="FFFFFF"/>
            </w:tcBorders>
            <w:shd w:val="clear" w:color="auto" w:fill="16365E"/>
            <w:vAlign w:val="center"/>
            <w:hideMark/>
          </w:tcPr>
          <w:p w14:paraId="30811ED4"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RESTO SISTEMA</w:t>
            </w:r>
          </w:p>
        </w:tc>
        <w:tc>
          <w:tcPr>
            <w:tcW w:w="1736" w:type="dxa"/>
            <w:tcBorders>
              <w:top w:val="nil"/>
              <w:left w:val="nil"/>
              <w:bottom w:val="single" w:sz="4" w:space="0" w:color="auto"/>
              <w:right w:val="single" w:sz="8" w:space="0" w:color="FFFFFF"/>
            </w:tcBorders>
            <w:shd w:val="clear" w:color="auto" w:fill="16365E"/>
            <w:vAlign w:val="center"/>
            <w:hideMark/>
          </w:tcPr>
          <w:p w14:paraId="648888D3"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 RESTO SISTEMA S/T.SIST.</w:t>
            </w:r>
          </w:p>
        </w:tc>
        <w:tc>
          <w:tcPr>
            <w:tcW w:w="1150" w:type="dxa"/>
            <w:tcBorders>
              <w:top w:val="nil"/>
              <w:left w:val="nil"/>
              <w:bottom w:val="single" w:sz="4" w:space="0" w:color="auto"/>
              <w:right w:val="single" w:sz="4" w:space="0" w:color="auto"/>
            </w:tcBorders>
            <w:shd w:val="clear" w:color="auto" w:fill="16365E"/>
            <w:vAlign w:val="center"/>
            <w:hideMark/>
          </w:tcPr>
          <w:p w14:paraId="64F5F060"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TOTAL</w:t>
            </w:r>
          </w:p>
          <w:p w14:paraId="4A137807"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SISTEMA</w:t>
            </w:r>
          </w:p>
        </w:tc>
      </w:tr>
      <w:tr w:rsidR="00A1217C" w:rsidRPr="009479C7" w14:paraId="29AD80E1" w14:textId="77777777" w:rsidTr="00A84A03">
        <w:trPr>
          <w:trHeight w:val="300"/>
          <w:jc w:val="center"/>
        </w:trPr>
        <w:tc>
          <w:tcPr>
            <w:tcW w:w="2728" w:type="dxa"/>
            <w:tcBorders>
              <w:top w:val="single" w:sz="8" w:space="0" w:color="FFFFFF"/>
              <w:left w:val="single" w:sz="8" w:space="0" w:color="FFFFFF"/>
              <w:bottom w:val="single" w:sz="8" w:space="0" w:color="FFFFFF"/>
              <w:right w:val="single" w:sz="8" w:space="0" w:color="2E74B5" w:themeColor="accent1" w:themeShade="BF"/>
            </w:tcBorders>
            <w:shd w:val="clear" w:color="auto" w:fill="16365E"/>
            <w:noWrap/>
            <w:vAlign w:val="center"/>
            <w:hideMark/>
          </w:tcPr>
          <w:p w14:paraId="1169790D" w14:textId="3C86B375" w:rsidR="00A1217C" w:rsidRPr="009479C7" w:rsidRDefault="00A1217C" w:rsidP="00A1217C">
            <w:pPr>
              <w:spacing w:after="0" w:line="240" w:lineRule="auto"/>
              <w:rPr>
                <w:rFonts w:ascii="Calibri" w:eastAsia="Times New Roman" w:hAnsi="Calibri" w:cs="Calibri"/>
                <w:b/>
                <w:bCs/>
                <w:sz w:val="20"/>
                <w:szCs w:val="20"/>
                <w:lang w:eastAsia="es-ES"/>
              </w:rPr>
            </w:pPr>
            <w:r w:rsidRPr="009479C7">
              <w:rPr>
                <w:rFonts w:ascii="Calibri" w:eastAsia="Times New Roman" w:hAnsi="Calibri" w:cs="Calibri"/>
                <w:b/>
                <w:bCs/>
                <w:sz w:val="20"/>
                <w:szCs w:val="20"/>
                <w:lang w:eastAsia="es-ES"/>
              </w:rPr>
              <w:t>Régimen General</w:t>
            </w:r>
            <w:r>
              <w:rPr>
                <w:rFonts w:ascii="Calibri" w:eastAsia="Times New Roman" w:hAnsi="Calibri" w:cs="Calibri"/>
                <w:b/>
                <w:bCs/>
                <w:sz w:val="20"/>
                <w:szCs w:val="20"/>
                <w:lang w:eastAsia="es-ES"/>
              </w:rPr>
              <w:t xml:space="preserve"> </w:t>
            </w:r>
            <w:r w:rsidRPr="009479C7">
              <w:rPr>
                <w:rFonts w:ascii="Calibri" w:eastAsia="Times New Roman" w:hAnsi="Calibri" w:cs="Calibri"/>
                <w:b/>
                <w:bCs/>
                <w:sz w:val="20"/>
                <w:szCs w:val="20"/>
                <w:lang w:eastAsia="es-ES"/>
              </w:rPr>
              <w:t>(*)</w:t>
            </w:r>
          </w:p>
        </w:tc>
        <w:tc>
          <w:tcPr>
            <w:tcW w:w="1150" w:type="dxa"/>
            <w:tcBorders>
              <w:top w:val="single" w:sz="4" w:space="0" w:color="auto"/>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1655A1CC" w14:textId="1DCD4F85"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15.578.068</w:t>
            </w:r>
          </w:p>
        </w:tc>
        <w:tc>
          <w:tcPr>
            <w:tcW w:w="1298" w:type="dxa"/>
            <w:tcBorders>
              <w:top w:val="single" w:sz="4" w:space="0" w:color="auto"/>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6E2CB9D1" w14:textId="68706AE5"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96,84</w:t>
            </w:r>
          </w:p>
        </w:tc>
        <w:tc>
          <w:tcPr>
            <w:tcW w:w="1159" w:type="dxa"/>
            <w:tcBorders>
              <w:top w:val="single" w:sz="4" w:space="0" w:color="auto"/>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44E1754C" w14:textId="3BC1BB44"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509.026</w:t>
            </w:r>
          </w:p>
        </w:tc>
        <w:tc>
          <w:tcPr>
            <w:tcW w:w="1736" w:type="dxa"/>
            <w:tcBorders>
              <w:top w:val="single" w:sz="4" w:space="0" w:color="auto"/>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185DAD84" w14:textId="123A0502"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3,16</w:t>
            </w:r>
          </w:p>
        </w:tc>
        <w:tc>
          <w:tcPr>
            <w:tcW w:w="1150" w:type="dxa"/>
            <w:tcBorders>
              <w:top w:val="single" w:sz="4" w:space="0" w:color="auto"/>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5CD670AD" w14:textId="56DEE761"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16.087.094</w:t>
            </w:r>
          </w:p>
        </w:tc>
      </w:tr>
      <w:tr w:rsidR="00A1217C" w:rsidRPr="009479C7" w14:paraId="1CA1A836" w14:textId="77777777" w:rsidTr="00A84A03">
        <w:trPr>
          <w:trHeight w:val="300"/>
          <w:jc w:val="center"/>
        </w:trPr>
        <w:tc>
          <w:tcPr>
            <w:tcW w:w="2728" w:type="dxa"/>
            <w:tcBorders>
              <w:top w:val="nil"/>
              <w:left w:val="single" w:sz="8" w:space="0" w:color="FFFFFF"/>
              <w:bottom w:val="single" w:sz="8" w:space="0" w:color="FFFFFF"/>
              <w:right w:val="single" w:sz="8" w:space="0" w:color="2E74B5" w:themeColor="accent1" w:themeShade="BF"/>
            </w:tcBorders>
            <w:shd w:val="clear" w:color="auto" w:fill="16365E"/>
            <w:noWrap/>
            <w:vAlign w:val="center"/>
            <w:hideMark/>
          </w:tcPr>
          <w:p w14:paraId="0035FE06" w14:textId="77777777" w:rsidR="00A1217C" w:rsidRPr="009479C7" w:rsidRDefault="00A1217C" w:rsidP="00A1217C">
            <w:pPr>
              <w:spacing w:after="0" w:line="240" w:lineRule="auto"/>
              <w:rPr>
                <w:rFonts w:ascii="Calibri" w:eastAsia="Times New Roman" w:hAnsi="Calibri" w:cs="Calibri"/>
                <w:b/>
                <w:bCs/>
                <w:sz w:val="20"/>
                <w:szCs w:val="20"/>
                <w:lang w:eastAsia="es-ES"/>
              </w:rPr>
            </w:pPr>
            <w:r w:rsidRPr="009479C7">
              <w:rPr>
                <w:rFonts w:ascii="Calibri" w:eastAsia="Times New Roman" w:hAnsi="Calibri" w:cs="Calibri"/>
                <w:b/>
                <w:bCs/>
                <w:sz w:val="20"/>
                <w:szCs w:val="20"/>
                <w:lang w:eastAsia="es-ES"/>
              </w:rPr>
              <w:t>Régimen del Mar</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325EEE31" w14:textId="405F6348"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52.031</w:t>
            </w:r>
          </w:p>
        </w:tc>
        <w:tc>
          <w:tcPr>
            <w:tcW w:w="129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7EE4A89D" w14:textId="2670A257"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81,26</w:t>
            </w:r>
          </w:p>
        </w:tc>
        <w:tc>
          <w:tcPr>
            <w:tcW w:w="115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25257CF5" w14:textId="4A10ADA2"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11.997</w:t>
            </w:r>
          </w:p>
        </w:tc>
        <w:tc>
          <w:tcPr>
            <w:tcW w:w="173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2A378877" w14:textId="7CE20B5F"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18,74</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2F7AFF52" w14:textId="06DB2E75"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64.028</w:t>
            </w:r>
          </w:p>
        </w:tc>
      </w:tr>
      <w:tr w:rsidR="00A1217C" w:rsidRPr="009479C7" w14:paraId="1F8A34E8" w14:textId="77777777" w:rsidTr="00A84A03">
        <w:trPr>
          <w:trHeight w:val="300"/>
          <w:jc w:val="center"/>
        </w:trPr>
        <w:tc>
          <w:tcPr>
            <w:tcW w:w="2728" w:type="dxa"/>
            <w:tcBorders>
              <w:top w:val="nil"/>
              <w:left w:val="single" w:sz="8" w:space="0" w:color="FFFFFF"/>
              <w:bottom w:val="single" w:sz="8" w:space="0" w:color="FFFFFF"/>
              <w:right w:val="single" w:sz="8" w:space="0" w:color="2E74B5" w:themeColor="accent1" w:themeShade="BF"/>
            </w:tcBorders>
            <w:shd w:val="clear" w:color="auto" w:fill="16365E"/>
            <w:noWrap/>
            <w:vAlign w:val="center"/>
            <w:hideMark/>
          </w:tcPr>
          <w:p w14:paraId="00BED4AC" w14:textId="77777777" w:rsidR="00A1217C" w:rsidRPr="009479C7" w:rsidRDefault="00A1217C" w:rsidP="00A1217C">
            <w:pPr>
              <w:spacing w:after="0" w:line="240" w:lineRule="auto"/>
              <w:rPr>
                <w:rFonts w:ascii="Calibri" w:eastAsia="Times New Roman" w:hAnsi="Calibri" w:cs="Calibri"/>
                <w:b/>
                <w:bCs/>
                <w:sz w:val="20"/>
                <w:szCs w:val="20"/>
                <w:lang w:eastAsia="es-ES"/>
              </w:rPr>
            </w:pPr>
            <w:r w:rsidRPr="009479C7">
              <w:rPr>
                <w:rFonts w:ascii="Calibri" w:eastAsia="Times New Roman" w:hAnsi="Calibri" w:cs="Calibri"/>
                <w:b/>
                <w:bCs/>
                <w:sz w:val="20"/>
                <w:szCs w:val="20"/>
                <w:lang w:eastAsia="es-ES"/>
              </w:rPr>
              <w:t>Régimen del Carbón</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33F16EAD" w14:textId="2191E432"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509</w:t>
            </w:r>
          </w:p>
        </w:tc>
        <w:tc>
          <w:tcPr>
            <w:tcW w:w="129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502FB26C" w14:textId="74EC13A6"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53,47</w:t>
            </w:r>
          </w:p>
        </w:tc>
        <w:tc>
          <w:tcPr>
            <w:tcW w:w="115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50DCBAD4" w14:textId="1FBABE11"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443</w:t>
            </w:r>
          </w:p>
        </w:tc>
        <w:tc>
          <w:tcPr>
            <w:tcW w:w="173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3EF8343A" w14:textId="5A1A6844"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46,53</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52F86D69" w14:textId="421EED97"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952</w:t>
            </w:r>
          </w:p>
        </w:tc>
      </w:tr>
      <w:tr w:rsidR="00A1217C" w:rsidRPr="009479C7" w14:paraId="752913C9" w14:textId="77777777" w:rsidTr="00A84A03">
        <w:trPr>
          <w:trHeight w:val="300"/>
          <w:jc w:val="center"/>
        </w:trPr>
        <w:tc>
          <w:tcPr>
            <w:tcW w:w="2728" w:type="dxa"/>
            <w:tcBorders>
              <w:top w:val="nil"/>
              <w:left w:val="single" w:sz="8" w:space="0" w:color="FFFFFF"/>
              <w:bottom w:val="single" w:sz="8" w:space="0" w:color="FFFFFF"/>
              <w:right w:val="single" w:sz="8" w:space="0" w:color="2E74B5" w:themeColor="accent1" w:themeShade="BF"/>
            </w:tcBorders>
            <w:shd w:val="clear" w:color="auto" w:fill="16365E"/>
            <w:noWrap/>
            <w:vAlign w:val="center"/>
            <w:hideMark/>
          </w:tcPr>
          <w:p w14:paraId="141C6101" w14:textId="77777777" w:rsidR="00A1217C" w:rsidRPr="009479C7" w:rsidRDefault="00A1217C" w:rsidP="00A1217C">
            <w:pPr>
              <w:spacing w:after="0" w:line="240" w:lineRule="auto"/>
              <w:rPr>
                <w:rFonts w:ascii="Calibri" w:eastAsia="Times New Roman" w:hAnsi="Calibri" w:cs="Calibri"/>
                <w:b/>
                <w:bCs/>
                <w:sz w:val="20"/>
                <w:szCs w:val="20"/>
                <w:lang w:eastAsia="es-ES"/>
              </w:rPr>
            </w:pPr>
            <w:r w:rsidRPr="009479C7">
              <w:rPr>
                <w:rFonts w:ascii="Calibri" w:eastAsia="Times New Roman" w:hAnsi="Calibri" w:cs="Calibri"/>
                <w:b/>
                <w:bCs/>
                <w:sz w:val="20"/>
                <w:szCs w:val="20"/>
                <w:lang w:eastAsia="es-ES"/>
              </w:rPr>
              <w:t>Régimen Autónomos</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1FC22A19" w14:textId="378DA17B"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3.239.774</w:t>
            </w:r>
          </w:p>
        </w:tc>
        <w:tc>
          <w:tcPr>
            <w:tcW w:w="129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76D5C68A" w14:textId="4F78CD8A"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99,98</w:t>
            </w:r>
          </w:p>
        </w:tc>
        <w:tc>
          <w:tcPr>
            <w:tcW w:w="115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022E8496" w14:textId="68720983"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544</w:t>
            </w:r>
          </w:p>
        </w:tc>
        <w:tc>
          <w:tcPr>
            <w:tcW w:w="173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4DA12A0F" w14:textId="79E3D362" w:rsidR="00A1217C" w:rsidRPr="00A1217C" w:rsidRDefault="00A1217C" w:rsidP="00A1217C">
            <w:pPr>
              <w:autoSpaceDE w:val="0"/>
              <w:autoSpaceDN w:val="0"/>
              <w:adjustRightInd w:val="0"/>
              <w:spacing w:after="0" w:line="240" w:lineRule="auto"/>
              <w:jc w:val="center"/>
              <w:rPr>
                <w:sz w:val="20"/>
                <w:szCs w:val="20"/>
              </w:rPr>
            </w:pPr>
            <w:r w:rsidRPr="00A1217C">
              <w:rPr>
                <w:sz w:val="20"/>
                <w:szCs w:val="20"/>
              </w:rPr>
              <w:t>0,02</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3AD76ACD" w14:textId="34314CEA" w:rsidR="00A1217C" w:rsidRPr="00A1217C" w:rsidRDefault="00A1217C" w:rsidP="00A1217C">
            <w:pPr>
              <w:autoSpaceDE w:val="0"/>
              <w:autoSpaceDN w:val="0"/>
              <w:adjustRightInd w:val="0"/>
              <w:spacing w:after="0" w:line="240" w:lineRule="auto"/>
              <w:jc w:val="right"/>
              <w:rPr>
                <w:sz w:val="20"/>
                <w:szCs w:val="20"/>
              </w:rPr>
            </w:pPr>
            <w:r w:rsidRPr="00A1217C">
              <w:rPr>
                <w:sz w:val="20"/>
                <w:szCs w:val="20"/>
              </w:rPr>
              <w:t>3.240.318</w:t>
            </w:r>
          </w:p>
        </w:tc>
      </w:tr>
      <w:tr w:rsidR="00A1217C" w:rsidRPr="009479C7" w14:paraId="568C1069" w14:textId="77777777" w:rsidTr="00A86F41">
        <w:trPr>
          <w:trHeight w:val="300"/>
          <w:jc w:val="center"/>
        </w:trPr>
        <w:tc>
          <w:tcPr>
            <w:tcW w:w="2728" w:type="dxa"/>
            <w:tcBorders>
              <w:top w:val="single" w:sz="8" w:space="0" w:color="FFFFFF"/>
              <w:left w:val="single" w:sz="8" w:space="0" w:color="FFFFFF"/>
              <w:bottom w:val="single" w:sz="8" w:space="0" w:color="FFFFFF"/>
              <w:right w:val="single" w:sz="8" w:space="0" w:color="2E74B5" w:themeColor="accent1" w:themeShade="BF"/>
            </w:tcBorders>
            <w:shd w:val="clear" w:color="auto" w:fill="16365E"/>
            <w:noWrap/>
            <w:vAlign w:val="center"/>
            <w:hideMark/>
          </w:tcPr>
          <w:p w14:paraId="43E8F3A4" w14:textId="79D046B6" w:rsidR="00A1217C" w:rsidRPr="009479C7" w:rsidRDefault="00A1217C" w:rsidP="00A1217C">
            <w:pPr>
              <w:spacing w:after="0" w:line="240" w:lineRule="auto"/>
              <w:rPr>
                <w:rFonts w:ascii="Calibri" w:eastAsia="Times New Roman" w:hAnsi="Calibri" w:cs="Calibri"/>
                <w:b/>
                <w:bCs/>
                <w:sz w:val="20"/>
                <w:szCs w:val="20"/>
                <w:lang w:eastAsia="es-ES"/>
              </w:rPr>
            </w:pPr>
            <w:r w:rsidRPr="009479C7">
              <w:rPr>
                <w:rFonts w:ascii="Calibri" w:eastAsia="Times New Roman" w:hAnsi="Calibri" w:cs="Calibri"/>
                <w:b/>
                <w:bCs/>
                <w:sz w:val="20"/>
                <w:szCs w:val="20"/>
                <w:lang w:eastAsia="es-ES"/>
              </w:rPr>
              <w:t>TOTAL REGÍMENES</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5AD7AA86" w14:textId="144B8B5F" w:rsidR="00A1217C" w:rsidRPr="00A1217C" w:rsidRDefault="00A1217C" w:rsidP="00A1217C">
            <w:pPr>
              <w:autoSpaceDE w:val="0"/>
              <w:autoSpaceDN w:val="0"/>
              <w:adjustRightInd w:val="0"/>
              <w:spacing w:after="0" w:line="240" w:lineRule="auto"/>
              <w:jc w:val="right"/>
              <w:rPr>
                <w:b/>
                <w:bCs/>
                <w:sz w:val="20"/>
                <w:szCs w:val="20"/>
              </w:rPr>
            </w:pPr>
            <w:r w:rsidRPr="00A1217C">
              <w:rPr>
                <w:b/>
                <w:bCs/>
                <w:sz w:val="20"/>
                <w:szCs w:val="20"/>
              </w:rPr>
              <w:t>18.870.382</w:t>
            </w:r>
          </w:p>
        </w:tc>
        <w:tc>
          <w:tcPr>
            <w:tcW w:w="1298"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1EB5CF9E" w14:textId="5F531B56" w:rsidR="00A1217C" w:rsidRPr="00A1217C" w:rsidRDefault="00A1217C" w:rsidP="00A1217C">
            <w:pPr>
              <w:autoSpaceDE w:val="0"/>
              <w:autoSpaceDN w:val="0"/>
              <w:adjustRightInd w:val="0"/>
              <w:spacing w:after="0" w:line="240" w:lineRule="auto"/>
              <w:jc w:val="center"/>
              <w:rPr>
                <w:b/>
                <w:bCs/>
                <w:sz w:val="20"/>
                <w:szCs w:val="20"/>
              </w:rPr>
            </w:pPr>
            <w:r w:rsidRPr="00A1217C">
              <w:rPr>
                <w:b/>
                <w:bCs/>
                <w:sz w:val="20"/>
                <w:szCs w:val="20"/>
              </w:rPr>
              <w:t>97,31</w:t>
            </w:r>
          </w:p>
        </w:tc>
        <w:tc>
          <w:tcPr>
            <w:tcW w:w="115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3FEA9A51" w14:textId="2097F16B" w:rsidR="00A1217C" w:rsidRPr="00A1217C" w:rsidRDefault="00A1217C" w:rsidP="00A1217C">
            <w:pPr>
              <w:autoSpaceDE w:val="0"/>
              <w:autoSpaceDN w:val="0"/>
              <w:adjustRightInd w:val="0"/>
              <w:spacing w:after="0" w:line="240" w:lineRule="auto"/>
              <w:jc w:val="right"/>
              <w:rPr>
                <w:b/>
                <w:bCs/>
                <w:sz w:val="20"/>
                <w:szCs w:val="20"/>
              </w:rPr>
            </w:pPr>
            <w:r w:rsidRPr="00A1217C">
              <w:rPr>
                <w:b/>
                <w:bCs/>
                <w:sz w:val="20"/>
                <w:szCs w:val="20"/>
              </w:rPr>
              <w:t>522.010</w:t>
            </w:r>
          </w:p>
        </w:tc>
        <w:tc>
          <w:tcPr>
            <w:tcW w:w="173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262EFEED" w14:textId="50857522" w:rsidR="00A1217C" w:rsidRPr="00A1217C" w:rsidRDefault="00A1217C" w:rsidP="00A1217C">
            <w:pPr>
              <w:autoSpaceDE w:val="0"/>
              <w:autoSpaceDN w:val="0"/>
              <w:adjustRightInd w:val="0"/>
              <w:spacing w:after="0" w:line="240" w:lineRule="auto"/>
              <w:jc w:val="center"/>
              <w:rPr>
                <w:b/>
                <w:bCs/>
                <w:sz w:val="20"/>
                <w:szCs w:val="20"/>
              </w:rPr>
            </w:pPr>
            <w:r w:rsidRPr="00A1217C">
              <w:rPr>
                <w:b/>
                <w:bCs/>
                <w:sz w:val="20"/>
                <w:szCs w:val="20"/>
              </w:rPr>
              <w:t>2,69</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73F69A58" w14:textId="29079792" w:rsidR="00A1217C" w:rsidRPr="00A1217C" w:rsidRDefault="00A1217C" w:rsidP="00A1217C">
            <w:pPr>
              <w:autoSpaceDE w:val="0"/>
              <w:autoSpaceDN w:val="0"/>
              <w:adjustRightInd w:val="0"/>
              <w:spacing w:after="0" w:line="240" w:lineRule="auto"/>
              <w:jc w:val="right"/>
              <w:rPr>
                <w:b/>
                <w:bCs/>
                <w:sz w:val="20"/>
                <w:szCs w:val="20"/>
              </w:rPr>
            </w:pPr>
            <w:r w:rsidRPr="00A1217C">
              <w:rPr>
                <w:b/>
                <w:bCs/>
                <w:sz w:val="20"/>
                <w:szCs w:val="20"/>
              </w:rPr>
              <w:t>19.392.392</w:t>
            </w:r>
          </w:p>
        </w:tc>
      </w:tr>
    </w:tbl>
    <w:p w14:paraId="24BD4289" w14:textId="77777777" w:rsidR="00DB754C" w:rsidRPr="000F4DB1" w:rsidRDefault="00DB754C" w:rsidP="00DB754C">
      <w:pPr>
        <w:rPr>
          <w:rFonts w:cstheme="minorHAnsi"/>
          <w:sz w:val="14"/>
          <w:szCs w:val="14"/>
        </w:rPr>
      </w:pPr>
      <w:r w:rsidRPr="000F4DB1">
        <w:rPr>
          <w:rFonts w:cstheme="minorHAnsi"/>
          <w:b/>
          <w:bCs/>
          <w:sz w:val="14"/>
          <w:szCs w:val="14"/>
        </w:rPr>
        <w:t>Fuente:</w:t>
      </w:r>
      <w:r>
        <w:rPr>
          <w:rFonts w:cstheme="minorHAnsi"/>
          <w:b/>
          <w:bCs/>
          <w:sz w:val="14"/>
          <w:szCs w:val="14"/>
        </w:rPr>
        <w:t xml:space="preserve"> </w:t>
      </w:r>
      <w:r w:rsidRPr="000F4DB1">
        <w:rPr>
          <w:rFonts w:cstheme="minorHAnsi"/>
          <w:sz w:val="14"/>
          <w:szCs w:val="14"/>
        </w:rPr>
        <w:t xml:space="preserve">Tesorería General de la Seguridad Social. </w:t>
      </w:r>
    </w:p>
    <w:p w14:paraId="0630FB15" w14:textId="59B0307F" w:rsidR="00686A52" w:rsidRPr="00686A52" w:rsidRDefault="00686A52" w:rsidP="00686A52">
      <w:pPr>
        <w:rPr>
          <w:rFonts w:cstheme="minorHAnsi"/>
          <w:sz w:val="14"/>
          <w:szCs w:val="14"/>
        </w:rPr>
      </w:pPr>
      <w:r w:rsidRPr="00686A52">
        <w:rPr>
          <w:rFonts w:cstheme="minorHAnsi"/>
          <w:sz w:val="14"/>
          <w:szCs w:val="14"/>
        </w:rPr>
        <w:t xml:space="preserve">(*) </w:t>
      </w:r>
      <w:r w:rsidRPr="00686A52">
        <w:rPr>
          <w:rFonts w:cstheme="minorHAnsi"/>
          <w:b/>
          <w:bCs/>
          <w:sz w:val="14"/>
          <w:szCs w:val="14"/>
        </w:rPr>
        <w:t>Nota</w:t>
      </w:r>
      <w:r w:rsidRPr="00686A52">
        <w:rPr>
          <w:rFonts w:cstheme="minorHAnsi"/>
          <w:sz w:val="14"/>
          <w:szCs w:val="14"/>
        </w:rPr>
        <w:t xml:space="preserve">: </w:t>
      </w:r>
      <w:r w:rsidR="003057FE" w:rsidRPr="00686A52">
        <w:rPr>
          <w:rFonts w:cstheme="minorHAnsi"/>
          <w:sz w:val="14"/>
          <w:szCs w:val="14"/>
        </w:rPr>
        <w:t>Excluido</w:t>
      </w:r>
      <w:r w:rsidR="003057FE">
        <w:rPr>
          <w:rFonts w:cstheme="minorHAnsi"/>
          <w:sz w:val="14"/>
          <w:szCs w:val="14"/>
        </w:rPr>
        <w:t>s</w:t>
      </w:r>
      <w:r w:rsidR="003057FE" w:rsidRPr="00686A52">
        <w:rPr>
          <w:rFonts w:cstheme="minorHAnsi"/>
          <w:sz w:val="14"/>
          <w:szCs w:val="14"/>
        </w:rPr>
        <w:t xml:space="preserve"> </w:t>
      </w:r>
      <w:r w:rsidR="003057FE">
        <w:rPr>
          <w:rFonts w:cstheme="minorHAnsi"/>
          <w:sz w:val="14"/>
          <w:szCs w:val="14"/>
        </w:rPr>
        <w:t>los Sistemas Especiales Agrario y de Empleados del Hogar del Régimen General en tanto no se desarrollen los nuevos criterios de contabilización de afiliados de dichos Sistemas Especiales.</w:t>
      </w:r>
    </w:p>
    <w:p w14:paraId="7CBB7FF2" w14:textId="77777777" w:rsidR="00686A52" w:rsidRPr="003C5D8F" w:rsidRDefault="00686A52" w:rsidP="00D80BD0">
      <w:pPr>
        <w:pStyle w:val="Textoindependiente2"/>
        <w:rPr>
          <w:rFonts w:ascii="Calibri" w:hAnsi="Calibri" w:cs="Calibri"/>
        </w:rPr>
      </w:pPr>
    </w:p>
    <w:p w14:paraId="172DFC35" w14:textId="532AA71E" w:rsidR="0013058F" w:rsidRPr="003C5D8F" w:rsidRDefault="0013058F" w:rsidP="0013058F">
      <w:pPr>
        <w:jc w:val="both"/>
        <w:rPr>
          <w:rFonts w:ascii="Calibri" w:hAnsi="Calibri" w:cs="Calibri"/>
          <w:sz w:val="24"/>
          <w:szCs w:val="24"/>
          <w:u w:val="single"/>
        </w:rPr>
      </w:pPr>
      <w:r w:rsidRPr="003C5D8F">
        <w:rPr>
          <w:rFonts w:ascii="Calibri" w:hAnsi="Calibri" w:cs="Calibri"/>
          <w:sz w:val="24"/>
          <w:szCs w:val="24"/>
          <w:u w:val="single"/>
        </w:rPr>
        <w:t>Por Contingencias Comunes:</w:t>
      </w:r>
    </w:p>
    <w:p w14:paraId="1F90E66D" w14:textId="77777777" w:rsidR="00031B66" w:rsidRPr="00031B66" w:rsidRDefault="00031B66" w:rsidP="00031B66">
      <w:pPr>
        <w:pStyle w:val="Textoindependiente2"/>
        <w:rPr>
          <w:rFonts w:ascii="Calibri" w:hAnsi="Calibri" w:cs="Calibri"/>
        </w:rPr>
      </w:pPr>
      <w:r w:rsidRPr="00031B66">
        <w:rPr>
          <w:rFonts w:ascii="Calibri" w:hAnsi="Calibri" w:cs="Calibri"/>
        </w:rPr>
        <w:t xml:space="preserve">Respecto a la afiliación por Contingencias Comunes, la afiliación de </w:t>
      </w:r>
      <w:r w:rsidRPr="00031B66">
        <w:rPr>
          <w:rFonts w:ascii="Calibri" w:hAnsi="Calibri" w:cs="Calibri"/>
          <w:b/>
          <w:bCs/>
        </w:rPr>
        <w:t>empresas</w:t>
      </w:r>
      <w:r w:rsidRPr="00031B66">
        <w:rPr>
          <w:rFonts w:ascii="Calibri" w:hAnsi="Calibri" w:cs="Calibri"/>
        </w:rPr>
        <w:t xml:space="preserve"> a las Mutuas ha pasado de 1.176.528 en </w:t>
      </w:r>
      <w:proofErr w:type="gramStart"/>
      <w:r w:rsidRPr="00031B66">
        <w:rPr>
          <w:rFonts w:ascii="Calibri" w:hAnsi="Calibri" w:cs="Calibri"/>
        </w:rPr>
        <w:t>Junio</w:t>
      </w:r>
      <w:proofErr w:type="gramEnd"/>
      <w:r w:rsidRPr="00031B66">
        <w:rPr>
          <w:rFonts w:ascii="Calibri" w:hAnsi="Calibri" w:cs="Calibri"/>
        </w:rPr>
        <w:t xml:space="preserve"> de 2022 a </w:t>
      </w:r>
      <w:r w:rsidRPr="00031B66">
        <w:rPr>
          <w:rFonts w:ascii="Calibri" w:hAnsi="Calibri" w:cs="Calibri"/>
          <w:b/>
          <w:bCs/>
        </w:rPr>
        <w:t>1.178.379</w:t>
      </w:r>
      <w:r w:rsidRPr="00031B66">
        <w:rPr>
          <w:rFonts w:ascii="Calibri" w:hAnsi="Calibri" w:cs="Calibri"/>
        </w:rPr>
        <w:t xml:space="preserve"> en Junio de 2023 con un incremento del </w:t>
      </w:r>
      <w:r w:rsidRPr="00031B66">
        <w:rPr>
          <w:rFonts w:ascii="Calibri" w:hAnsi="Calibri" w:cs="Calibri"/>
          <w:b/>
          <w:bCs/>
        </w:rPr>
        <w:t>0,16%,</w:t>
      </w:r>
      <w:r w:rsidRPr="00031B66">
        <w:rPr>
          <w:rFonts w:ascii="Calibri" w:hAnsi="Calibri" w:cs="Calibri"/>
        </w:rPr>
        <w:t xml:space="preserve"> mientras que los </w:t>
      </w:r>
      <w:r w:rsidRPr="00031B66">
        <w:rPr>
          <w:rFonts w:ascii="Calibri" w:hAnsi="Calibri" w:cs="Calibri"/>
          <w:b/>
          <w:bCs/>
        </w:rPr>
        <w:t>trabajadores</w:t>
      </w:r>
      <w:r w:rsidRPr="00031B66">
        <w:rPr>
          <w:rFonts w:ascii="Calibri" w:hAnsi="Calibri" w:cs="Calibri"/>
        </w:rPr>
        <w:t xml:space="preserve"> </w:t>
      </w:r>
      <w:r w:rsidRPr="00031B66">
        <w:rPr>
          <w:rFonts w:ascii="Calibri" w:hAnsi="Calibri" w:cs="Calibri"/>
          <w:b/>
          <w:bCs/>
        </w:rPr>
        <w:t>protegidos</w:t>
      </w:r>
      <w:r w:rsidRPr="00031B66">
        <w:rPr>
          <w:rFonts w:ascii="Calibri" w:hAnsi="Calibri" w:cs="Calibri"/>
        </w:rPr>
        <w:t xml:space="preserve"> por esta contingencia y en el mismo periodo han pasado de 14.882.968 a </w:t>
      </w:r>
      <w:r w:rsidRPr="00031B66">
        <w:rPr>
          <w:rFonts w:ascii="Calibri" w:hAnsi="Calibri" w:cs="Calibri"/>
          <w:b/>
          <w:bCs/>
        </w:rPr>
        <w:t>15.264.133</w:t>
      </w:r>
      <w:r w:rsidRPr="00031B66">
        <w:rPr>
          <w:rFonts w:ascii="Calibri" w:hAnsi="Calibri" w:cs="Calibri"/>
        </w:rPr>
        <w:t xml:space="preserve">, con un incremento del </w:t>
      </w:r>
      <w:r w:rsidRPr="00031B66">
        <w:rPr>
          <w:rFonts w:ascii="Calibri" w:hAnsi="Calibri" w:cs="Calibri"/>
          <w:b/>
          <w:bCs/>
        </w:rPr>
        <w:t>2,56%.</w:t>
      </w:r>
      <w:r w:rsidRPr="00031B66">
        <w:rPr>
          <w:rFonts w:ascii="Calibri" w:hAnsi="Calibri" w:cs="Calibri"/>
        </w:rPr>
        <w:t xml:space="preserve"> </w:t>
      </w:r>
    </w:p>
    <w:p w14:paraId="7DBA451D" w14:textId="77777777" w:rsidR="00CA688C" w:rsidRDefault="00CA688C" w:rsidP="00D80BD0">
      <w:pPr>
        <w:pStyle w:val="Textoindependiente2"/>
        <w:rPr>
          <w:rFonts w:ascii="Calibri" w:hAnsi="Calibri" w:cs="Calibri"/>
        </w:rPr>
      </w:pPr>
    </w:p>
    <w:p w14:paraId="2435419E" w14:textId="77777777" w:rsidR="00031B66" w:rsidRPr="00031B66" w:rsidRDefault="00031B66" w:rsidP="00031B66">
      <w:pPr>
        <w:pStyle w:val="Textoindependiente2"/>
        <w:rPr>
          <w:rFonts w:ascii="Calibri" w:hAnsi="Calibri" w:cs="Calibri"/>
        </w:rPr>
      </w:pPr>
      <w:r w:rsidRPr="00031B66">
        <w:rPr>
          <w:rFonts w:ascii="Calibri" w:hAnsi="Calibri" w:cs="Calibri"/>
        </w:rPr>
        <w:t xml:space="preserve">La </w:t>
      </w:r>
      <w:r w:rsidRPr="00031B66">
        <w:rPr>
          <w:rFonts w:ascii="Calibri" w:hAnsi="Calibri" w:cs="Calibri"/>
          <w:b/>
          <w:bCs/>
        </w:rPr>
        <w:t>cuota de mercado</w:t>
      </w:r>
      <w:r w:rsidRPr="00031B66">
        <w:rPr>
          <w:rFonts w:ascii="Calibri" w:hAnsi="Calibri" w:cs="Calibri"/>
        </w:rPr>
        <w:t xml:space="preserve"> de las Mutuas en Contingencias Comunes, medida por la afiliación de </w:t>
      </w:r>
      <w:r w:rsidRPr="00031B66">
        <w:rPr>
          <w:rFonts w:ascii="Calibri" w:hAnsi="Calibri" w:cs="Calibri"/>
          <w:b/>
          <w:bCs/>
        </w:rPr>
        <w:t>empresas</w:t>
      </w:r>
      <w:r w:rsidRPr="00031B66">
        <w:rPr>
          <w:rFonts w:ascii="Calibri" w:hAnsi="Calibri" w:cs="Calibri"/>
        </w:rPr>
        <w:t xml:space="preserve"> a las Mutuas, respecto al total del Sistema ha pasado del 81,39% en </w:t>
      </w:r>
      <w:proofErr w:type="gramStart"/>
      <w:r w:rsidRPr="00031B66">
        <w:rPr>
          <w:rFonts w:ascii="Calibri" w:hAnsi="Calibri" w:cs="Calibri"/>
        </w:rPr>
        <w:t>Junio</w:t>
      </w:r>
      <w:proofErr w:type="gramEnd"/>
      <w:r w:rsidRPr="00031B66">
        <w:rPr>
          <w:rFonts w:ascii="Calibri" w:hAnsi="Calibri" w:cs="Calibri"/>
        </w:rPr>
        <w:t xml:space="preserve"> de 2022 al </w:t>
      </w:r>
      <w:r w:rsidRPr="00031B66">
        <w:rPr>
          <w:rFonts w:ascii="Calibri" w:hAnsi="Calibri" w:cs="Calibri"/>
          <w:b/>
          <w:bCs/>
        </w:rPr>
        <w:t>81,29%</w:t>
      </w:r>
      <w:r w:rsidRPr="00031B66">
        <w:rPr>
          <w:rFonts w:ascii="Calibri" w:hAnsi="Calibri" w:cs="Calibri"/>
        </w:rPr>
        <w:t xml:space="preserve"> en Junio de 2023. Dicha cuota, medida por la afiliación de </w:t>
      </w:r>
      <w:r w:rsidRPr="00031B66">
        <w:rPr>
          <w:rFonts w:ascii="Calibri" w:hAnsi="Calibri" w:cs="Calibri"/>
          <w:b/>
          <w:bCs/>
        </w:rPr>
        <w:t>trabajadores</w:t>
      </w:r>
      <w:r w:rsidRPr="00031B66">
        <w:rPr>
          <w:rFonts w:ascii="Calibri" w:hAnsi="Calibri" w:cs="Calibri"/>
        </w:rPr>
        <w:t xml:space="preserve">, respecto al total del Sistema se ha mantenido en el </w:t>
      </w:r>
      <w:r w:rsidRPr="00031B66">
        <w:rPr>
          <w:rFonts w:ascii="Calibri" w:hAnsi="Calibri" w:cs="Calibri"/>
          <w:b/>
          <w:bCs/>
        </w:rPr>
        <w:t>79,69%</w:t>
      </w:r>
      <w:r w:rsidRPr="00031B66">
        <w:rPr>
          <w:rFonts w:ascii="Calibri" w:hAnsi="Calibri" w:cs="Calibri"/>
        </w:rPr>
        <w:t xml:space="preserve"> respecto a </w:t>
      </w:r>
      <w:proofErr w:type="gramStart"/>
      <w:r w:rsidRPr="00031B66">
        <w:rPr>
          <w:rFonts w:ascii="Calibri" w:hAnsi="Calibri" w:cs="Calibri"/>
        </w:rPr>
        <w:t>Junio</w:t>
      </w:r>
      <w:proofErr w:type="gramEnd"/>
      <w:r w:rsidRPr="00031B66">
        <w:rPr>
          <w:rFonts w:ascii="Calibri" w:hAnsi="Calibri" w:cs="Calibri"/>
        </w:rPr>
        <w:t xml:space="preserve"> de 2022.</w:t>
      </w:r>
    </w:p>
    <w:p w14:paraId="260E5FF0" w14:textId="68293909" w:rsidR="00AC4B57" w:rsidRDefault="00AC4B57">
      <w:pPr>
        <w:rPr>
          <w:rFonts w:ascii="Calibri" w:eastAsia="Times New Roman" w:hAnsi="Calibri" w:cs="Calibri"/>
          <w:sz w:val="24"/>
          <w:szCs w:val="24"/>
          <w:highlight w:val="yellow"/>
          <w:lang w:eastAsia="es-ES"/>
        </w:rPr>
      </w:pPr>
      <w:r>
        <w:rPr>
          <w:rFonts w:ascii="Calibri" w:hAnsi="Calibri" w:cs="Calibri"/>
          <w:highlight w:val="yellow"/>
        </w:rPr>
        <w:br w:type="page"/>
      </w:r>
    </w:p>
    <w:p w14:paraId="671BCACD" w14:textId="4D743B59" w:rsidR="00AC4B57" w:rsidRPr="00AC4B57" w:rsidRDefault="00AC4B57" w:rsidP="00AC4B57">
      <w:pPr>
        <w:pStyle w:val="Textoindependiente2"/>
        <w:rPr>
          <w:rFonts w:ascii="Calibri" w:hAnsi="Calibri" w:cs="Calibri"/>
        </w:rPr>
      </w:pPr>
      <w:r w:rsidRPr="00AC4B57">
        <w:rPr>
          <w:rFonts w:ascii="Calibri" w:hAnsi="Calibri" w:cs="Calibri"/>
        </w:rPr>
        <w:t xml:space="preserve">En el caso de la </w:t>
      </w:r>
      <w:r w:rsidRPr="00AC4B57">
        <w:rPr>
          <w:rFonts w:ascii="Calibri" w:hAnsi="Calibri" w:cs="Calibri"/>
          <w:b/>
          <w:bCs/>
        </w:rPr>
        <w:t>afiliación</w:t>
      </w:r>
      <w:r w:rsidRPr="00AC4B57">
        <w:rPr>
          <w:rFonts w:ascii="Calibri" w:hAnsi="Calibri" w:cs="Calibri"/>
        </w:rPr>
        <w:t xml:space="preserve"> por Contingencias Comunes de los </w:t>
      </w:r>
      <w:r w:rsidRPr="00AC4B57">
        <w:rPr>
          <w:rFonts w:ascii="Calibri" w:hAnsi="Calibri" w:cs="Calibri"/>
          <w:b/>
          <w:bCs/>
        </w:rPr>
        <w:t>trabajadores</w:t>
      </w:r>
      <w:r w:rsidRPr="00AC4B57">
        <w:rPr>
          <w:rFonts w:ascii="Calibri" w:hAnsi="Calibri" w:cs="Calibri"/>
        </w:rPr>
        <w:t xml:space="preserve"> </w:t>
      </w:r>
      <w:r w:rsidRPr="00AC4B57">
        <w:rPr>
          <w:rFonts w:ascii="Calibri" w:hAnsi="Calibri" w:cs="Calibri"/>
          <w:b/>
          <w:bCs/>
        </w:rPr>
        <w:t>autónomos</w:t>
      </w:r>
      <w:r w:rsidRPr="00AC4B57">
        <w:rPr>
          <w:rFonts w:ascii="Calibri" w:hAnsi="Calibri" w:cs="Calibri"/>
        </w:rPr>
        <w:t xml:space="preserve">, el número de afiliados ha disminuido de 3.288.816 a </w:t>
      </w:r>
      <w:r w:rsidRPr="00AC4B57">
        <w:rPr>
          <w:rFonts w:ascii="Calibri" w:hAnsi="Calibri" w:cs="Calibri"/>
          <w:b/>
          <w:bCs/>
        </w:rPr>
        <w:t>3.283.149</w:t>
      </w:r>
      <w:r w:rsidRPr="00AC4B57">
        <w:rPr>
          <w:rFonts w:ascii="Calibri" w:hAnsi="Calibri" w:cs="Calibri"/>
        </w:rPr>
        <w:t xml:space="preserve"> de </w:t>
      </w:r>
      <w:proofErr w:type="gramStart"/>
      <w:r w:rsidRPr="00AC4B57">
        <w:rPr>
          <w:rFonts w:ascii="Calibri" w:hAnsi="Calibri" w:cs="Calibri"/>
        </w:rPr>
        <w:t>Junio</w:t>
      </w:r>
      <w:proofErr w:type="gramEnd"/>
      <w:r w:rsidRPr="00AC4B57">
        <w:rPr>
          <w:rFonts w:ascii="Calibri" w:hAnsi="Calibri" w:cs="Calibri"/>
        </w:rPr>
        <w:t xml:space="preserve"> de 2022 a Junio de 2023, produciéndose un descenso del </w:t>
      </w:r>
      <w:r w:rsidRPr="00AC4B57">
        <w:rPr>
          <w:rFonts w:ascii="Calibri" w:hAnsi="Calibri" w:cs="Calibri"/>
          <w:b/>
          <w:bCs/>
        </w:rPr>
        <w:t>0,17%,</w:t>
      </w:r>
      <w:r w:rsidRPr="00AC4B57">
        <w:rPr>
          <w:rFonts w:ascii="Calibri" w:hAnsi="Calibri" w:cs="Calibri"/>
        </w:rPr>
        <w:t xml:space="preserve"> pasando la cuota de mercado del 99,07% al </w:t>
      </w:r>
      <w:r w:rsidRPr="00AC4B57">
        <w:rPr>
          <w:rFonts w:ascii="Calibri" w:hAnsi="Calibri" w:cs="Calibri"/>
          <w:b/>
          <w:bCs/>
        </w:rPr>
        <w:t>99,13%</w:t>
      </w:r>
      <w:r w:rsidRPr="00AC4B57">
        <w:rPr>
          <w:rFonts w:ascii="Calibri" w:hAnsi="Calibri" w:cs="Calibri"/>
        </w:rPr>
        <w:footnoteReference w:id="2"/>
      </w:r>
      <w:r w:rsidRPr="00AC4B57">
        <w:rPr>
          <w:rFonts w:ascii="Calibri" w:hAnsi="Calibri" w:cs="Calibri"/>
        </w:rPr>
        <w:t>, respecto al total del Sistema.</w:t>
      </w:r>
    </w:p>
    <w:p w14:paraId="58259852" w14:textId="0B9D5617" w:rsidR="00686A52" w:rsidRPr="003C5D8F" w:rsidRDefault="00686A52" w:rsidP="00DB754C">
      <w:pPr>
        <w:rPr>
          <w:rFonts w:ascii="Calibri" w:hAnsi="Calibri" w:cs="Calibri"/>
          <w:sz w:val="24"/>
          <w:szCs w:val="24"/>
        </w:rPr>
      </w:pPr>
    </w:p>
    <w:tbl>
      <w:tblPr>
        <w:tblW w:w="9160" w:type="dxa"/>
        <w:jc w:val="center"/>
        <w:tblCellMar>
          <w:left w:w="70" w:type="dxa"/>
          <w:right w:w="70" w:type="dxa"/>
        </w:tblCellMar>
        <w:tblLook w:val="04A0" w:firstRow="1" w:lastRow="0" w:firstColumn="1" w:lastColumn="0" w:noHBand="0" w:noVBand="1"/>
      </w:tblPr>
      <w:tblGrid>
        <w:gridCol w:w="2720"/>
        <w:gridCol w:w="1120"/>
        <w:gridCol w:w="1300"/>
        <w:gridCol w:w="1160"/>
        <w:gridCol w:w="1740"/>
        <w:gridCol w:w="1120"/>
      </w:tblGrid>
      <w:tr w:rsidR="00BC3A22" w:rsidRPr="00F33DBE" w14:paraId="7A86FE23" w14:textId="77777777" w:rsidTr="0061027D">
        <w:trPr>
          <w:trHeight w:val="480"/>
          <w:jc w:val="center"/>
        </w:trPr>
        <w:tc>
          <w:tcPr>
            <w:tcW w:w="2720" w:type="dxa"/>
            <w:tcBorders>
              <w:top w:val="nil"/>
              <w:left w:val="nil"/>
              <w:bottom w:val="nil"/>
              <w:right w:val="nil"/>
            </w:tcBorders>
            <w:shd w:val="clear" w:color="000000" w:fill="FFFFFF"/>
            <w:noWrap/>
            <w:vAlign w:val="bottom"/>
            <w:hideMark/>
          </w:tcPr>
          <w:p w14:paraId="6E2ADC0F" w14:textId="77777777" w:rsidR="0056694D" w:rsidRPr="00F33DBE" w:rsidRDefault="0056694D" w:rsidP="00AF71A0">
            <w:pPr>
              <w:spacing w:after="0" w:line="240" w:lineRule="auto"/>
              <w:rPr>
                <w:rFonts w:eastAsia="Times New Roman" w:cstheme="minorHAnsi"/>
                <w:sz w:val="20"/>
                <w:szCs w:val="20"/>
                <w:lang w:eastAsia="es-ES"/>
              </w:rPr>
            </w:pPr>
            <w:r w:rsidRPr="00F33DBE">
              <w:rPr>
                <w:rFonts w:eastAsia="Times New Roman" w:cstheme="minorHAnsi"/>
                <w:sz w:val="20"/>
                <w:szCs w:val="20"/>
                <w:lang w:eastAsia="es-ES"/>
              </w:rPr>
              <w:lastRenderedPageBreak/>
              <w:t> </w:t>
            </w:r>
          </w:p>
        </w:tc>
        <w:tc>
          <w:tcPr>
            <w:tcW w:w="6440" w:type="dxa"/>
            <w:gridSpan w:val="5"/>
            <w:tcBorders>
              <w:top w:val="single" w:sz="8" w:space="0" w:color="FFFFFF"/>
              <w:left w:val="single" w:sz="8" w:space="0" w:color="FFFFFF"/>
              <w:bottom w:val="single" w:sz="8" w:space="0" w:color="FFFFFF"/>
              <w:right w:val="single" w:sz="8" w:space="0" w:color="FFFFFF"/>
            </w:tcBorders>
            <w:shd w:val="clear" w:color="auto" w:fill="16365E"/>
            <w:vAlign w:val="center"/>
            <w:hideMark/>
          </w:tcPr>
          <w:p w14:paraId="7D4927C0"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EMPRESAS</w:t>
            </w:r>
          </w:p>
        </w:tc>
      </w:tr>
      <w:tr w:rsidR="00BC3A22" w:rsidRPr="00F33DBE" w14:paraId="779F2305" w14:textId="77777777" w:rsidTr="00AF71A0">
        <w:trPr>
          <w:trHeight w:val="645"/>
          <w:jc w:val="center"/>
        </w:trPr>
        <w:tc>
          <w:tcPr>
            <w:tcW w:w="2720" w:type="dxa"/>
            <w:tcBorders>
              <w:top w:val="nil"/>
              <w:left w:val="nil"/>
              <w:bottom w:val="nil"/>
              <w:right w:val="nil"/>
            </w:tcBorders>
            <w:shd w:val="clear" w:color="000000" w:fill="FFFFFF"/>
            <w:noWrap/>
            <w:vAlign w:val="bottom"/>
            <w:hideMark/>
          </w:tcPr>
          <w:p w14:paraId="27D07BA1" w14:textId="77777777" w:rsidR="0056694D" w:rsidRPr="00F33DBE" w:rsidRDefault="0056694D" w:rsidP="00AF71A0">
            <w:pPr>
              <w:spacing w:after="0" w:line="240" w:lineRule="auto"/>
              <w:rPr>
                <w:rFonts w:eastAsia="Times New Roman" w:cstheme="minorHAnsi"/>
                <w:sz w:val="20"/>
                <w:szCs w:val="20"/>
                <w:lang w:eastAsia="es-ES"/>
              </w:rPr>
            </w:pPr>
            <w:r w:rsidRPr="00F33DBE">
              <w:rPr>
                <w:rFonts w:eastAsia="Times New Roman" w:cstheme="minorHAnsi"/>
                <w:sz w:val="20"/>
                <w:szCs w:val="20"/>
                <w:lang w:eastAsia="es-ES"/>
              </w:rPr>
              <w:t> </w:t>
            </w:r>
          </w:p>
        </w:tc>
        <w:tc>
          <w:tcPr>
            <w:tcW w:w="1120" w:type="dxa"/>
            <w:tcBorders>
              <w:top w:val="nil"/>
              <w:left w:val="single" w:sz="8" w:space="0" w:color="FFFFFF"/>
              <w:bottom w:val="single" w:sz="8" w:space="0" w:color="2E74B5" w:themeColor="accent1" w:themeShade="BF"/>
              <w:right w:val="single" w:sz="8" w:space="0" w:color="FFFFFF"/>
            </w:tcBorders>
            <w:shd w:val="clear" w:color="auto" w:fill="16365E"/>
            <w:vAlign w:val="center"/>
            <w:hideMark/>
          </w:tcPr>
          <w:p w14:paraId="04238D29"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MUTUAS</w:t>
            </w:r>
          </w:p>
        </w:tc>
        <w:tc>
          <w:tcPr>
            <w:tcW w:w="1300" w:type="dxa"/>
            <w:tcBorders>
              <w:top w:val="nil"/>
              <w:left w:val="nil"/>
              <w:bottom w:val="single" w:sz="8" w:space="0" w:color="2E74B5" w:themeColor="accent1" w:themeShade="BF"/>
              <w:right w:val="single" w:sz="8" w:space="0" w:color="FFFFFF"/>
            </w:tcBorders>
            <w:shd w:val="clear" w:color="auto" w:fill="16365E"/>
            <w:vAlign w:val="center"/>
            <w:hideMark/>
          </w:tcPr>
          <w:p w14:paraId="62EAFDD0"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 MUTUAS S/T.SIST.</w:t>
            </w:r>
          </w:p>
        </w:tc>
        <w:tc>
          <w:tcPr>
            <w:tcW w:w="1160" w:type="dxa"/>
            <w:tcBorders>
              <w:top w:val="nil"/>
              <w:left w:val="nil"/>
              <w:bottom w:val="single" w:sz="8" w:space="0" w:color="2E74B5" w:themeColor="accent1" w:themeShade="BF"/>
              <w:right w:val="single" w:sz="8" w:space="0" w:color="FFFFFF"/>
            </w:tcBorders>
            <w:shd w:val="clear" w:color="auto" w:fill="16365E"/>
            <w:vAlign w:val="center"/>
            <w:hideMark/>
          </w:tcPr>
          <w:p w14:paraId="6C17FCEF" w14:textId="77777777" w:rsidR="0056694D" w:rsidRPr="00F33DBE" w:rsidRDefault="00690DCE"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RESTO SISTEMA</w:t>
            </w:r>
          </w:p>
        </w:tc>
        <w:tc>
          <w:tcPr>
            <w:tcW w:w="1740" w:type="dxa"/>
            <w:tcBorders>
              <w:top w:val="nil"/>
              <w:left w:val="nil"/>
              <w:bottom w:val="single" w:sz="8" w:space="0" w:color="2E74B5" w:themeColor="accent1" w:themeShade="BF"/>
              <w:right w:val="single" w:sz="8" w:space="0" w:color="FFFFFF"/>
            </w:tcBorders>
            <w:shd w:val="clear" w:color="auto" w:fill="16365E"/>
            <w:vAlign w:val="center"/>
            <w:hideMark/>
          </w:tcPr>
          <w:p w14:paraId="6F4F5DFF"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 RESTO SISTEMA S/T.SIST.</w:t>
            </w:r>
          </w:p>
        </w:tc>
        <w:tc>
          <w:tcPr>
            <w:tcW w:w="1120" w:type="dxa"/>
            <w:tcBorders>
              <w:top w:val="nil"/>
              <w:left w:val="nil"/>
              <w:bottom w:val="single" w:sz="8" w:space="0" w:color="2E74B5" w:themeColor="accent1" w:themeShade="BF"/>
              <w:right w:val="single" w:sz="8" w:space="0" w:color="FFFFFF"/>
            </w:tcBorders>
            <w:shd w:val="clear" w:color="auto" w:fill="16365E"/>
            <w:vAlign w:val="center"/>
            <w:hideMark/>
          </w:tcPr>
          <w:p w14:paraId="52D60588"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TOTAL SISTEMA</w:t>
            </w:r>
          </w:p>
        </w:tc>
      </w:tr>
      <w:tr w:rsidR="002A1F80" w:rsidRPr="00F33DBE" w14:paraId="2F461E6B" w14:textId="77777777" w:rsidTr="00A4614A">
        <w:trPr>
          <w:trHeight w:val="300"/>
          <w:jc w:val="center"/>
        </w:trPr>
        <w:tc>
          <w:tcPr>
            <w:tcW w:w="2720" w:type="dxa"/>
            <w:tcBorders>
              <w:top w:val="single" w:sz="8" w:space="0" w:color="FFFFFF"/>
              <w:left w:val="single" w:sz="8" w:space="0" w:color="FFFFFF"/>
              <w:bottom w:val="single" w:sz="8" w:space="0" w:color="FFFFFF"/>
              <w:right w:val="single" w:sz="8" w:space="0" w:color="2E74B5" w:themeColor="accent1" w:themeShade="BF"/>
            </w:tcBorders>
            <w:shd w:val="clear" w:color="auto" w:fill="16365E"/>
            <w:noWrap/>
            <w:vAlign w:val="center"/>
            <w:hideMark/>
          </w:tcPr>
          <w:p w14:paraId="2F0F773F" w14:textId="1D52B492" w:rsidR="002A1F80" w:rsidRPr="00F33DBE" w:rsidRDefault="002A1F80" w:rsidP="002A1F80">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Régimen General</w:t>
            </w:r>
            <w:r>
              <w:rPr>
                <w:rFonts w:eastAsia="Times New Roman" w:cstheme="minorHAnsi"/>
                <w:b/>
                <w:bCs/>
                <w:sz w:val="20"/>
                <w:szCs w:val="20"/>
                <w:lang w:eastAsia="es-ES"/>
              </w:rPr>
              <w:t xml:space="preserve"> </w:t>
            </w:r>
            <w:r w:rsidRPr="00F33DBE">
              <w:rPr>
                <w:rFonts w:eastAsia="Times New Roman" w:cstheme="minorHAnsi"/>
                <w:b/>
                <w:bCs/>
                <w:sz w:val="20"/>
                <w:szCs w:val="20"/>
                <w:lang w:eastAsia="es-ES"/>
              </w:rPr>
              <w:t>(*)</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7F5E6C3F" w14:textId="1F5B71C8"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1.174.636</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646BAE36" w14:textId="3F58DEC4"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81,47</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12073B3E" w14:textId="373A09AC"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267.217</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3A786309" w14:textId="1CECD74C"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18,53</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377C1BDF" w14:textId="0188350C"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1.441.853</w:t>
            </w:r>
          </w:p>
        </w:tc>
      </w:tr>
      <w:tr w:rsidR="002A1F80" w:rsidRPr="00F33DBE" w14:paraId="0CBEA2A7" w14:textId="77777777" w:rsidTr="00A4614A">
        <w:trPr>
          <w:trHeight w:val="300"/>
          <w:jc w:val="center"/>
        </w:trPr>
        <w:tc>
          <w:tcPr>
            <w:tcW w:w="2720" w:type="dxa"/>
            <w:tcBorders>
              <w:top w:val="nil"/>
              <w:left w:val="single" w:sz="8" w:space="0" w:color="FFFFFF"/>
              <w:bottom w:val="single" w:sz="8" w:space="0" w:color="FFFFFF"/>
              <w:right w:val="single" w:sz="8" w:space="0" w:color="2E74B5" w:themeColor="accent1" w:themeShade="BF"/>
            </w:tcBorders>
            <w:shd w:val="clear" w:color="auto" w:fill="16365E"/>
            <w:noWrap/>
            <w:vAlign w:val="center"/>
            <w:hideMark/>
          </w:tcPr>
          <w:p w14:paraId="3009B1A2" w14:textId="77777777" w:rsidR="002A1F80" w:rsidRPr="00F33DBE" w:rsidRDefault="002A1F80" w:rsidP="002A1F80">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Régimen del Mar</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7EF0679E" w14:textId="619A833A"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3.725</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67C41B72" w14:textId="1A9FEA1D"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48,02</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695DD8C7" w14:textId="09D52709"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4.032</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50522781" w14:textId="344F2AC4"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51,98</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7AC25833" w14:textId="1786AC5C"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7.757</w:t>
            </w:r>
          </w:p>
        </w:tc>
      </w:tr>
      <w:tr w:rsidR="002A1F80" w:rsidRPr="00F33DBE" w14:paraId="28709AFB" w14:textId="77777777" w:rsidTr="00A4614A">
        <w:trPr>
          <w:trHeight w:val="300"/>
          <w:jc w:val="center"/>
        </w:trPr>
        <w:tc>
          <w:tcPr>
            <w:tcW w:w="2720" w:type="dxa"/>
            <w:tcBorders>
              <w:top w:val="nil"/>
              <w:left w:val="single" w:sz="8" w:space="0" w:color="FFFFFF"/>
              <w:bottom w:val="single" w:sz="8" w:space="0" w:color="FFFFFF"/>
              <w:right w:val="single" w:sz="8" w:space="0" w:color="2E74B5" w:themeColor="accent1" w:themeShade="BF"/>
            </w:tcBorders>
            <w:shd w:val="clear" w:color="auto" w:fill="16365E"/>
            <w:noWrap/>
            <w:vAlign w:val="center"/>
            <w:hideMark/>
          </w:tcPr>
          <w:p w14:paraId="0872998B" w14:textId="77777777" w:rsidR="002A1F80" w:rsidRPr="00F33DBE" w:rsidRDefault="002A1F80" w:rsidP="002A1F80">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Régimen del Carbón</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2F7917CE" w14:textId="200B71E5"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18</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5392F70D" w14:textId="6418724E"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81,82</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481C96EC" w14:textId="490EB16F"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4</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0BD6B67A" w14:textId="187B6C8A"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18,18</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47231886" w14:textId="552348CB"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22</w:t>
            </w:r>
          </w:p>
        </w:tc>
      </w:tr>
      <w:tr w:rsidR="002A1F80" w:rsidRPr="00F33DBE" w14:paraId="4B27098F" w14:textId="77777777" w:rsidTr="00BE699A">
        <w:trPr>
          <w:trHeight w:val="300"/>
          <w:jc w:val="center"/>
        </w:trPr>
        <w:tc>
          <w:tcPr>
            <w:tcW w:w="2720" w:type="dxa"/>
            <w:tcBorders>
              <w:top w:val="single" w:sz="8" w:space="0" w:color="FFFFFF"/>
              <w:left w:val="single" w:sz="8" w:space="0" w:color="FFFFFF"/>
              <w:bottom w:val="single" w:sz="8" w:space="0" w:color="FFFFFF"/>
              <w:right w:val="single" w:sz="8" w:space="0" w:color="2E74B5" w:themeColor="accent1" w:themeShade="BF"/>
            </w:tcBorders>
            <w:shd w:val="clear" w:color="auto" w:fill="16365E"/>
            <w:noWrap/>
            <w:vAlign w:val="center"/>
            <w:hideMark/>
          </w:tcPr>
          <w:p w14:paraId="02F661E9" w14:textId="3F6FAEE6" w:rsidR="002A1F80" w:rsidRPr="00F33DBE" w:rsidRDefault="002A1F80" w:rsidP="002A1F80">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TOTAL REGÍMENES</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4116C923" w14:textId="26D7143B"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1.178.379</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222F24FA" w14:textId="5BF031FC"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81,29</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05AA4C76" w14:textId="1353A0D8"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271.253</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714402D6" w14:textId="78CCF552"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18,71</w:t>
            </w:r>
          </w:p>
        </w:tc>
        <w:tc>
          <w:tcPr>
            <w:tcW w:w="112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592DBFE1" w14:textId="2584EC5F"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1.449.632</w:t>
            </w:r>
          </w:p>
        </w:tc>
      </w:tr>
    </w:tbl>
    <w:p w14:paraId="7E46B5DB" w14:textId="77777777" w:rsidR="00DB754C" w:rsidRPr="000F4DB1" w:rsidRDefault="00DB754C" w:rsidP="00DB754C">
      <w:pPr>
        <w:rPr>
          <w:rFonts w:cstheme="minorHAnsi"/>
          <w:sz w:val="14"/>
          <w:szCs w:val="14"/>
        </w:rPr>
      </w:pPr>
      <w:r w:rsidRPr="000F4DB1">
        <w:rPr>
          <w:rFonts w:cstheme="minorHAnsi"/>
          <w:b/>
          <w:bCs/>
          <w:sz w:val="14"/>
          <w:szCs w:val="14"/>
        </w:rPr>
        <w:t>Fuente:</w:t>
      </w:r>
      <w:r>
        <w:rPr>
          <w:rFonts w:cstheme="minorHAnsi"/>
          <w:b/>
          <w:bCs/>
          <w:sz w:val="14"/>
          <w:szCs w:val="14"/>
        </w:rPr>
        <w:t xml:space="preserve"> </w:t>
      </w:r>
      <w:r w:rsidRPr="000F4DB1">
        <w:rPr>
          <w:rFonts w:cstheme="minorHAnsi"/>
          <w:sz w:val="14"/>
          <w:szCs w:val="14"/>
        </w:rPr>
        <w:t xml:space="preserve">Tesorería General de la Seguridad Social. </w:t>
      </w:r>
    </w:p>
    <w:p w14:paraId="5C870B00" w14:textId="74979739" w:rsidR="00F6719B" w:rsidRPr="000F4DB1" w:rsidRDefault="00686A52" w:rsidP="00DB754C">
      <w:pPr>
        <w:rPr>
          <w:rFonts w:cstheme="minorHAnsi"/>
          <w:sz w:val="14"/>
          <w:szCs w:val="14"/>
        </w:rPr>
      </w:pPr>
      <w:r w:rsidRPr="00686A52">
        <w:rPr>
          <w:rFonts w:cstheme="minorHAnsi"/>
          <w:sz w:val="14"/>
          <w:szCs w:val="14"/>
        </w:rPr>
        <w:t xml:space="preserve">(*) </w:t>
      </w:r>
      <w:r w:rsidRPr="00686A52">
        <w:rPr>
          <w:rFonts w:cstheme="minorHAnsi"/>
          <w:b/>
          <w:bCs/>
          <w:sz w:val="14"/>
          <w:szCs w:val="14"/>
        </w:rPr>
        <w:t>Nota</w:t>
      </w:r>
      <w:r w:rsidRPr="00686A52">
        <w:rPr>
          <w:rFonts w:cstheme="minorHAnsi"/>
          <w:sz w:val="14"/>
          <w:szCs w:val="14"/>
        </w:rPr>
        <w:t xml:space="preserve">: </w:t>
      </w:r>
      <w:r w:rsidR="00421763" w:rsidRPr="00421763">
        <w:rPr>
          <w:sz w:val="14"/>
          <w:szCs w:val="14"/>
        </w:rPr>
        <w:t>Excluidos los Sistemas Especiales Agrario y de Empleados de Hogar del Régimen General en tanto no se desarrollen los nuevos criterios de contabilización de afiliados de dichos Sistemas Especiales.</w:t>
      </w:r>
    </w:p>
    <w:p w14:paraId="1A611C44" w14:textId="3551763B" w:rsidR="00C23A98" w:rsidRDefault="00C23A98">
      <w:pPr>
        <w:rPr>
          <w:rFonts w:eastAsia="Times New Roman" w:cstheme="minorHAnsi"/>
          <w:sz w:val="20"/>
          <w:szCs w:val="20"/>
          <w:lang w:eastAsia="es-ES"/>
        </w:rPr>
      </w:pPr>
    </w:p>
    <w:tbl>
      <w:tblPr>
        <w:tblW w:w="9220" w:type="dxa"/>
        <w:jc w:val="center"/>
        <w:tblCellMar>
          <w:left w:w="70" w:type="dxa"/>
          <w:right w:w="70" w:type="dxa"/>
        </w:tblCellMar>
        <w:tblLook w:val="04A0" w:firstRow="1" w:lastRow="0" w:firstColumn="1" w:lastColumn="0" w:noHBand="0" w:noVBand="1"/>
      </w:tblPr>
      <w:tblGrid>
        <w:gridCol w:w="2720"/>
        <w:gridCol w:w="1150"/>
        <w:gridCol w:w="1300"/>
        <w:gridCol w:w="1160"/>
        <w:gridCol w:w="1740"/>
        <w:gridCol w:w="1150"/>
      </w:tblGrid>
      <w:tr w:rsidR="00BC3A22" w:rsidRPr="00F33DBE" w14:paraId="0C7A3FD4" w14:textId="77777777" w:rsidTr="00C414D7">
        <w:trPr>
          <w:trHeight w:val="480"/>
          <w:jc w:val="center"/>
        </w:trPr>
        <w:tc>
          <w:tcPr>
            <w:tcW w:w="2720" w:type="dxa"/>
            <w:tcBorders>
              <w:top w:val="nil"/>
              <w:left w:val="nil"/>
              <w:bottom w:val="nil"/>
              <w:right w:val="nil"/>
            </w:tcBorders>
            <w:shd w:val="clear" w:color="000000" w:fill="FFFFFF"/>
            <w:noWrap/>
            <w:vAlign w:val="bottom"/>
            <w:hideMark/>
          </w:tcPr>
          <w:p w14:paraId="5E775B44" w14:textId="77777777" w:rsidR="0056694D" w:rsidRPr="00F33DBE" w:rsidRDefault="0056694D" w:rsidP="00AF71A0">
            <w:pPr>
              <w:spacing w:after="0" w:line="240" w:lineRule="auto"/>
              <w:rPr>
                <w:rFonts w:eastAsia="Times New Roman" w:cstheme="minorHAnsi"/>
                <w:sz w:val="20"/>
                <w:szCs w:val="20"/>
                <w:lang w:eastAsia="es-ES"/>
              </w:rPr>
            </w:pPr>
            <w:r w:rsidRPr="00F33DBE">
              <w:rPr>
                <w:rFonts w:eastAsia="Times New Roman" w:cstheme="minorHAnsi"/>
                <w:sz w:val="20"/>
                <w:szCs w:val="20"/>
                <w:lang w:eastAsia="es-ES"/>
              </w:rPr>
              <w:t> </w:t>
            </w:r>
          </w:p>
        </w:tc>
        <w:tc>
          <w:tcPr>
            <w:tcW w:w="6500" w:type="dxa"/>
            <w:gridSpan w:val="5"/>
            <w:tcBorders>
              <w:top w:val="single" w:sz="8" w:space="0" w:color="FFFFFF"/>
              <w:left w:val="single" w:sz="8" w:space="0" w:color="FFFFFF"/>
              <w:bottom w:val="single" w:sz="8" w:space="0" w:color="FFFFFF"/>
              <w:right w:val="single" w:sz="8" w:space="0" w:color="FFFFFF"/>
            </w:tcBorders>
            <w:shd w:val="clear" w:color="auto" w:fill="16365E"/>
            <w:vAlign w:val="center"/>
            <w:hideMark/>
          </w:tcPr>
          <w:p w14:paraId="23F516D9"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TRABAJADORES</w:t>
            </w:r>
          </w:p>
        </w:tc>
      </w:tr>
      <w:tr w:rsidR="00BC3A22" w:rsidRPr="00F33DBE" w14:paraId="21FFCC1F" w14:textId="77777777" w:rsidTr="00C414D7">
        <w:trPr>
          <w:trHeight w:val="645"/>
          <w:jc w:val="center"/>
        </w:trPr>
        <w:tc>
          <w:tcPr>
            <w:tcW w:w="2720" w:type="dxa"/>
            <w:tcBorders>
              <w:top w:val="nil"/>
              <w:left w:val="nil"/>
              <w:bottom w:val="nil"/>
              <w:right w:val="nil"/>
            </w:tcBorders>
            <w:shd w:val="clear" w:color="000000" w:fill="FFFFFF"/>
            <w:noWrap/>
            <w:vAlign w:val="bottom"/>
            <w:hideMark/>
          </w:tcPr>
          <w:p w14:paraId="48EF55F2" w14:textId="77777777" w:rsidR="0056694D" w:rsidRPr="00F33DBE" w:rsidRDefault="0056694D" w:rsidP="00AF71A0">
            <w:pPr>
              <w:spacing w:after="0" w:line="240" w:lineRule="auto"/>
              <w:rPr>
                <w:rFonts w:eastAsia="Times New Roman" w:cstheme="minorHAnsi"/>
                <w:sz w:val="20"/>
                <w:szCs w:val="20"/>
                <w:lang w:eastAsia="es-ES"/>
              </w:rPr>
            </w:pPr>
            <w:r w:rsidRPr="00F33DBE">
              <w:rPr>
                <w:rFonts w:eastAsia="Times New Roman" w:cstheme="minorHAnsi"/>
                <w:sz w:val="20"/>
                <w:szCs w:val="20"/>
                <w:lang w:eastAsia="es-ES"/>
              </w:rPr>
              <w:t> </w:t>
            </w:r>
          </w:p>
        </w:tc>
        <w:tc>
          <w:tcPr>
            <w:tcW w:w="1150" w:type="dxa"/>
            <w:tcBorders>
              <w:top w:val="nil"/>
              <w:left w:val="single" w:sz="8" w:space="0" w:color="FFFFFF"/>
              <w:bottom w:val="single" w:sz="8" w:space="0" w:color="2E74B5" w:themeColor="accent1" w:themeShade="BF"/>
              <w:right w:val="single" w:sz="8" w:space="0" w:color="FFFFFF"/>
            </w:tcBorders>
            <w:shd w:val="clear" w:color="auto" w:fill="16365E"/>
            <w:vAlign w:val="center"/>
            <w:hideMark/>
          </w:tcPr>
          <w:p w14:paraId="20C10C05"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MUTUAS</w:t>
            </w:r>
          </w:p>
        </w:tc>
        <w:tc>
          <w:tcPr>
            <w:tcW w:w="1300" w:type="dxa"/>
            <w:tcBorders>
              <w:top w:val="nil"/>
              <w:left w:val="nil"/>
              <w:bottom w:val="single" w:sz="8" w:space="0" w:color="2E74B5" w:themeColor="accent1" w:themeShade="BF"/>
              <w:right w:val="single" w:sz="8" w:space="0" w:color="FFFFFF"/>
            </w:tcBorders>
            <w:shd w:val="clear" w:color="auto" w:fill="16365E"/>
            <w:vAlign w:val="center"/>
            <w:hideMark/>
          </w:tcPr>
          <w:p w14:paraId="28F6CCE5"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 MUTUAS S/T.SIST.</w:t>
            </w:r>
          </w:p>
        </w:tc>
        <w:tc>
          <w:tcPr>
            <w:tcW w:w="1160" w:type="dxa"/>
            <w:tcBorders>
              <w:top w:val="nil"/>
              <w:left w:val="nil"/>
              <w:bottom w:val="single" w:sz="8" w:space="0" w:color="2E74B5" w:themeColor="accent1" w:themeShade="BF"/>
              <w:right w:val="single" w:sz="8" w:space="0" w:color="FFFFFF"/>
            </w:tcBorders>
            <w:shd w:val="clear" w:color="auto" w:fill="16365E"/>
            <w:vAlign w:val="center"/>
            <w:hideMark/>
          </w:tcPr>
          <w:p w14:paraId="1F1F460F" w14:textId="77777777" w:rsidR="0056694D" w:rsidRPr="00F33DBE" w:rsidRDefault="00690DCE"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RESTO SISTEMA</w:t>
            </w:r>
          </w:p>
        </w:tc>
        <w:tc>
          <w:tcPr>
            <w:tcW w:w="1740" w:type="dxa"/>
            <w:tcBorders>
              <w:top w:val="nil"/>
              <w:left w:val="nil"/>
              <w:bottom w:val="single" w:sz="8" w:space="0" w:color="2E74B5" w:themeColor="accent1" w:themeShade="BF"/>
              <w:right w:val="single" w:sz="8" w:space="0" w:color="FFFFFF"/>
            </w:tcBorders>
            <w:shd w:val="clear" w:color="auto" w:fill="16365E"/>
            <w:vAlign w:val="center"/>
            <w:hideMark/>
          </w:tcPr>
          <w:p w14:paraId="0DCF7143"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 RESTO SISTEMA S/T.SIST.</w:t>
            </w:r>
          </w:p>
        </w:tc>
        <w:tc>
          <w:tcPr>
            <w:tcW w:w="1150" w:type="dxa"/>
            <w:tcBorders>
              <w:top w:val="nil"/>
              <w:left w:val="nil"/>
              <w:bottom w:val="single" w:sz="8" w:space="0" w:color="2E74B5" w:themeColor="accent1" w:themeShade="BF"/>
              <w:right w:val="single" w:sz="8" w:space="0" w:color="FFFFFF"/>
            </w:tcBorders>
            <w:shd w:val="clear" w:color="auto" w:fill="16365E"/>
            <w:vAlign w:val="center"/>
            <w:hideMark/>
          </w:tcPr>
          <w:p w14:paraId="6A38D993" w14:textId="77777777" w:rsidR="0056694D" w:rsidRPr="00F33DBE" w:rsidRDefault="0056694D" w:rsidP="00AF71A0">
            <w:pPr>
              <w:spacing w:after="0" w:line="240" w:lineRule="auto"/>
              <w:jc w:val="center"/>
              <w:rPr>
                <w:rFonts w:eastAsia="Times New Roman" w:cstheme="minorHAnsi"/>
                <w:b/>
                <w:bCs/>
                <w:sz w:val="20"/>
                <w:szCs w:val="20"/>
                <w:lang w:eastAsia="es-ES"/>
              </w:rPr>
            </w:pPr>
            <w:r w:rsidRPr="00F33DBE">
              <w:rPr>
                <w:rFonts w:eastAsia="Times New Roman" w:cstheme="minorHAnsi"/>
                <w:b/>
                <w:bCs/>
                <w:sz w:val="20"/>
                <w:szCs w:val="20"/>
                <w:lang w:eastAsia="es-ES"/>
              </w:rPr>
              <w:t>TOTAL SISTEMA</w:t>
            </w:r>
          </w:p>
        </w:tc>
      </w:tr>
      <w:tr w:rsidR="00943B1B" w:rsidRPr="0013058F" w14:paraId="3EA95768" w14:textId="77777777" w:rsidTr="0011019E">
        <w:trPr>
          <w:trHeight w:val="300"/>
          <w:jc w:val="center"/>
        </w:trPr>
        <w:tc>
          <w:tcPr>
            <w:tcW w:w="2720" w:type="dxa"/>
            <w:tcBorders>
              <w:top w:val="single" w:sz="8" w:space="0" w:color="FFFFFF"/>
              <w:left w:val="single" w:sz="8" w:space="0" w:color="FFFFFF"/>
              <w:bottom w:val="single" w:sz="8" w:space="0" w:color="FFFFFF"/>
              <w:right w:val="single" w:sz="8" w:space="0" w:color="2E74B5" w:themeColor="accent1" w:themeShade="BF"/>
            </w:tcBorders>
            <w:shd w:val="clear" w:color="auto" w:fill="16365E"/>
            <w:noWrap/>
            <w:vAlign w:val="center"/>
            <w:hideMark/>
          </w:tcPr>
          <w:p w14:paraId="6D46946E" w14:textId="384FC0F5" w:rsidR="00943B1B" w:rsidRPr="00F33DBE" w:rsidRDefault="00943B1B" w:rsidP="00943B1B">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Régimen General</w:t>
            </w:r>
            <w:r>
              <w:rPr>
                <w:rFonts w:eastAsia="Times New Roman" w:cstheme="minorHAnsi"/>
                <w:b/>
                <w:bCs/>
                <w:sz w:val="20"/>
                <w:szCs w:val="20"/>
                <w:lang w:eastAsia="es-ES"/>
              </w:rPr>
              <w:t xml:space="preserve"> </w:t>
            </w:r>
            <w:r w:rsidRPr="00F33DBE">
              <w:rPr>
                <w:rFonts w:eastAsia="Times New Roman" w:cstheme="minorHAnsi"/>
                <w:b/>
                <w:bCs/>
                <w:sz w:val="20"/>
                <w:szCs w:val="20"/>
                <w:lang w:eastAsia="es-ES"/>
              </w:rPr>
              <w:t>(*)</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47B931A1" w14:textId="614412C5"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11.949.035</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26B1B618" w14:textId="565912C6" w:rsidR="00943B1B" w:rsidRPr="002A1F80" w:rsidRDefault="00943B1B" w:rsidP="00943B1B">
            <w:pPr>
              <w:autoSpaceDE w:val="0"/>
              <w:autoSpaceDN w:val="0"/>
              <w:adjustRightInd w:val="0"/>
              <w:spacing w:after="0" w:line="240" w:lineRule="auto"/>
              <w:jc w:val="center"/>
              <w:rPr>
                <w:sz w:val="20"/>
                <w:szCs w:val="20"/>
              </w:rPr>
            </w:pPr>
            <w:r w:rsidRPr="002A1F80">
              <w:rPr>
                <w:sz w:val="20"/>
                <w:szCs w:val="20"/>
              </w:rPr>
              <w:t>75,74</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0AA390F0" w14:textId="4606C511"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3.827.964</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3FFBEEFA" w14:textId="2CC4FA8F" w:rsidR="00943B1B" w:rsidRPr="002A1F80" w:rsidRDefault="00943B1B" w:rsidP="00943B1B">
            <w:pPr>
              <w:autoSpaceDE w:val="0"/>
              <w:autoSpaceDN w:val="0"/>
              <w:adjustRightInd w:val="0"/>
              <w:spacing w:after="0" w:line="240" w:lineRule="auto"/>
              <w:jc w:val="center"/>
              <w:rPr>
                <w:sz w:val="20"/>
                <w:szCs w:val="20"/>
              </w:rPr>
            </w:pPr>
            <w:r w:rsidRPr="002A1F80">
              <w:rPr>
                <w:sz w:val="20"/>
                <w:szCs w:val="20"/>
              </w:rPr>
              <w:t>24,26</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3F0BB19B" w14:textId="2629AEA5"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15.776.999</w:t>
            </w:r>
          </w:p>
        </w:tc>
      </w:tr>
      <w:tr w:rsidR="00943B1B" w:rsidRPr="0013058F" w14:paraId="4675FE8B" w14:textId="77777777" w:rsidTr="0011019E">
        <w:trPr>
          <w:trHeight w:val="300"/>
          <w:jc w:val="center"/>
        </w:trPr>
        <w:tc>
          <w:tcPr>
            <w:tcW w:w="2720" w:type="dxa"/>
            <w:tcBorders>
              <w:top w:val="nil"/>
              <w:left w:val="single" w:sz="8" w:space="0" w:color="FFFFFF"/>
              <w:bottom w:val="single" w:sz="8" w:space="0" w:color="FFFFFF"/>
              <w:right w:val="single" w:sz="8" w:space="0" w:color="2E74B5" w:themeColor="accent1" w:themeShade="BF"/>
            </w:tcBorders>
            <w:shd w:val="clear" w:color="auto" w:fill="16365E"/>
            <w:noWrap/>
            <w:vAlign w:val="center"/>
            <w:hideMark/>
          </w:tcPr>
          <w:p w14:paraId="018B114B" w14:textId="2E008ABF" w:rsidR="00943B1B" w:rsidRPr="00F33DBE" w:rsidRDefault="00943B1B" w:rsidP="00943B1B">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Régimen del Mar</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4F231BEC" w14:textId="14DC487E"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31.441</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10F316FD" w14:textId="627BF2E2" w:rsidR="00943B1B" w:rsidRPr="002A1F80" w:rsidRDefault="00943B1B" w:rsidP="00943B1B">
            <w:pPr>
              <w:autoSpaceDE w:val="0"/>
              <w:autoSpaceDN w:val="0"/>
              <w:adjustRightInd w:val="0"/>
              <w:spacing w:after="0" w:line="240" w:lineRule="auto"/>
              <w:jc w:val="center"/>
              <w:rPr>
                <w:sz w:val="20"/>
                <w:szCs w:val="20"/>
              </w:rPr>
            </w:pPr>
            <w:r w:rsidRPr="002A1F80">
              <w:rPr>
                <w:sz w:val="20"/>
                <w:szCs w:val="20"/>
              </w:rPr>
              <w:t>49,11</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58C59637" w14:textId="4E7F1E83"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32.587</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2F209F90" w14:textId="2895E2CD" w:rsidR="00943B1B" w:rsidRPr="002A1F80" w:rsidRDefault="00943B1B" w:rsidP="00943B1B">
            <w:pPr>
              <w:autoSpaceDE w:val="0"/>
              <w:autoSpaceDN w:val="0"/>
              <w:adjustRightInd w:val="0"/>
              <w:spacing w:after="0" w:line="240" w:lineRule="auto"/>
              <w:jc w:val="center"/>
              <w:rPr>
                <w:sz w:val="20"/>
                <w:szCs w:val="20"/>
              </w:rPr>
            </w:pPr>
            <w:r w:rsidRPr="002A1F80">
              <w:rPr>
                <w:sz w:val="20"/>
                <w:szCs w:val="20"/>
              </w:rPr>
              <w:t>50,89</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11961A27" w14:textId="149750F2"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64.028</w:t>
            </w:r>
          </w:p>
        </w:tc>
      </w:tr>
      <w:tr w:rsidR="00943B1B" w:rsidRPr="0013058F" w14:paraId="4F25C1D5" w14:textId="77777777" w:rsidTr="0011019E">
        <w:trPr>
          <w:trHeight w:val="300"/>
          <w:jc w:val="center"/>
        </w:trPr>
        <w:tc>
          <w:tcPr>
            <w:tcW w:w="2720" w:type="dxa"/>
            <w:tcBorders>
              <w:top w:val="nil"/>
              <w:left w:val="single" w:sz="8" w:space="0" w:color="FFFFFF"/>
              <w:bottom w:val="single" w:sz="8" w:space="0" w:color="FFFFFF"/>
              <w:right w:val="single" w:sz="8" w:space="0" w:color="2E74B5" w:themeColor="accent1" w:themeShade="BF"/>
            </w:tcBorders>
            <w:shd w:val="clear" w:color="auto" w:fill="16365E"/>
            <w:noWrap/>
            <w:vAlign w:val="center"/>
            <w:hideMark/>
          </w:tcPr>
          <w:p w14:paraId="37B2F310" w14:textId="1A3FDF32" w:rsidR="00943B1B" w:rsidRPr="00F33DBE" w:rsidRDefault="00943B1B" w:rsidP="00943B1B">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Régimen del Carbón</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67237B1C" w14:textId="52420F6E"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508</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5736DA41" w14:textId="5B9BAF8E" w:rsidR="00943B1B" w:rsidRPr="002A1F80" w:rsidRDefault="00943B1B" w:rsidP="00943B1B">
            <w:pPr>
              <w:autoSpaceDE w:val="0"/>
              <w:autoSpaceDN w:val="0"/>
              <w:adjustRightInd w:val="0"/>
              <w:spacing w:after="0" w:line="240" w:lineRule="auto"/>
              <w:jc w:val="center"/>
              <w:rPr>
                <w:sz w:val="20"/>
                <w:szCs w:val="20"/>
              </w:rPr>
            </w:pPr>
            <w:r w:rsidRPr="002A1F80">
              <w:rPr>
                <w:sz w:val="20"/>
                <w:szCs w:val="20"/>
              </w:rPr>
              <w:t>53,36</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6E5FDDD5" w14:textId="7AAC93A8"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444</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6ECE15A2" w14:textId="087DA0FF" w:rsidR="00943B1B" w:rsidRPr="002A1F80" w:rsidRDefault="00943B1B" w:rsidP="00943B1B">
            <w:pPr>
              <w:autoSpaceDE w:val="0"/>
              <w:autoSpaceDN w:val="0"/>
              <w:adjustRightInd w:val="0"/>
              <w:spacing w:after="0" w:line="240" w:lineRule="auto"/>
              <w:jc w:val="center"/>
              <w:rPr>
                <w:sz w:val="20"/>
                <w:szCs w:val="20"/>
              </w:rPr>
            </w:pPr>
            <w:r w:rsidRPr="002A1F80">
              <w:rPr>
                <w:sz w:val="20"/>
                <w:szCs w:val="20"/>
              </w:rPr>
              <w:t>46,64</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7320DF5C" w14:textId="5705D593"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952</w:t>
            </w:r>
          </w:p>
        </w:tc>
      </w:tr>
      <w:tr w:rsidR="00943B1B" w:rsidRPr="0013058F" w14:paraId="41B4807F" w14:textId="77777777" w:rsidTr="0011019E">
        <w:trPr>
          <w:trHeight w:val="300"/>
          <w:jc w:val="center"/>
        </w:trPr>
        <w:tc>
          <w:tcPr>
            <w:tcW w:w="2720" w:type="dxa"/>
            <w:tcBorders>
              <w:top w:val="nil"/>
              <w:left w:val="single" w:sz="8" w:space="0" w:color="FFFFFF"/>
              <w:bottom w:val="single" w:sz="8" w:space="0" w:color="FFFFFF"/>
              <w:right w:val="single" w:sz="8" w:space="0" w:color="2E74B5" w:themeColor="accent1" w:themeShade="BF"/>
            </w:tcBorders>
            <w:shd w:val="clear" w:color="auto" w:fill="16365E"/>
            <w:noWrap/>
            <w:vAlign w:val="center"/>
            <w:hideMark/>
          </w:tcPr>
          <w:p w14:paraId="7689FA7E" w14:textId="58439B37" w:rsidR="00943B1B" w:rsidRPr="00F33DBE" w:rsidRDefault="00943B1B" w:rsidP="00943B1B">
            <w:pPr>
              <w:spacing w:after="0" w:line="240" w:lineRule="auto"/>
              <w:rPr>
                <w:rFonts w:eastAsia="Times New Roman" w:cstheme="minorHAnsi"/>
                <w:b/>
                <w:bCs/>
                <w:sz w:val="20"/>
                <w:szCs w:val="20"/>
                <w:lang w:eastAsia="es-ES"/>
              </w:rPr>
            </w:pPr>
            <w:r>
              <w:rPr>
                <w:rFonts w:eastAsia="Times New Roman" w:cstheme="minorHAnsi"/>
                <w:b/>
                <w:bCs/>
                <w:sz w:val="20"/>
                <w:szCs w:val="20"/>
                <w:lang w:eastAsia="es-ES"/>
              </w:rPr>
              <w:t>Régimen</w:t>
            </w:r>
            <w:r w:rsidRPr="00943B1B">
              <w:rPr>
                <w:rFonts w:eastAsia="Times New Roman" w:cstheme="minorHAnsi"/>
                <w:b/>
                <w:bCs/>
                <w:sz w:val="20"/>
                <w:szCs w:val="20"/>
                <w:lang w:eastAsia="es-ES"/>
              </w:rPr>
              <w:t xml:space="preserve"> A</w:t>
            </w:r>
            <w:r>
              <w:rPr>
                <w:rFonts w:eastAsia="Times New Roman" w:cstheme="minorHAnsi"/>
                <w:b/>
                <w:bCs/>
                <w:sz w:val="20"/>
                <w:szCs w:val="20"/>
                <w:lang w:eastAsia="es-ES"/>
              </w:rPr>
              <w:t>utónomos</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265BA61E" w14:textId="3213E9A7"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3.283.149</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25008792" w14:textId="704E5A7A" w:rsidR="00943B1B" w:rsidRPr="002A1F80" w:rsidRDefault="00943B1B" w:rsidP="00943B1B">
            <w:pPr>
              <w:autoSpaceDE w:val="0"/>
              <w:autoSpaceDN w:val="0"/>
              <w:adjustRightInd w:val="0"/>
              <w:spacing w:after="0" w:line="240" w:lineRule="auto"/>
              <w:jc w:val="center"/>
              <w:rPr>
                <w:sz w:val="20"/>
                <w:szCs w:val="20"/>
              </w:rPr>
            </w:pPr>
            <w:r w:rsidRPr="002A1F80">
              <w:rPr>
                <w:sz w:val="20"/>
                <w:szCs w:val="20"/>
              </w:rPr>
              <w:t>99,13</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205DA822" w14:textId="44952A54"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28.826</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4407EDC1" w14:textId="08A24409" w:rsidR="00943B1B" w:rsidRPr="002A1F80" w:rsidRDefault="00943B1B" w:rsidP="00943B1B">
            <w:pPr>
              <w:autoSpaceDE w:val="0"/>
              <w:autoSpaceDN w:val="0"/>
              <w:adjustRightInd w:val="0"/>
              <w:spacing w:after="0" w:line="240" w:lineRule="auto"/>
              <w:jc w:val="center"/>
              <w:rPr>
                <w:sz w:val="20"/>
                <w:szCs w:val="20"/>
              </w:rPr>
            </w:pPr>
            <w:r w:rsidRPr="002A1F80">
              <w:rPr>
                <w:sz w:val="20"/>
                <w:szCs w:val="20"/>
              </w:rPr>
              <w:t>0,87</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000000" w:fill="F2F2F2"/>
            <w:noWrap/>
            <w:vAlign w:val="center"/>
          </w:tcPr>
          <w:p w14:paraId="7F38D0F0" w14:textId="56E8F710" w:rsidR="00943B1B" w:rsidRPr="002A1F80" w:rsidRDefault="00943B1B" w:rsidP="00943B1B">
            <w:pPr>
              <w:autoSpaceDE w:val="0"/>
              <w:autoSpaceDN w:val="0"/>
              <w:adjustRightInd w:val="0"/>
              <w:spacing w:after="0" w:line="240" w:lineRule="auto"/>
              <w:jc w:val="right"/>
              <w:rPr>
                <w:sz w:val="20"/>
                <w:szCs w:val="20"/>
              </w:rPr>
            </w:pPr>
            <w:r w:rsidRPr="002A1F80">
              <w:rPr>
                <w:sz w:val="20"/>
                <w:szCs w:val="20"/>
              </w:rPr>
              <w:t>3.311.975</w:t>
            </w:r>
          </w:p>
        </w:tc>
      </w:tr>
      <w:tr w:rsidR="002A1F80" w:rsidRPr="0013058F" w14:paraId="2AF9BFD7" w14:textId="77777777" w:rsidTr="00C202D4">
        <w:trPr>
          <w:trHeight w:val="300"/>
          <w:jc w:val="center"/>
        </w:trPr>
        <w:tc>
          <w:tcPr>
            <w:tcW w:w="2720" w:type="dxa"/>
            <w:tcBorders>
              <w:top w:val="single" w:sz="8" w:space="0" w:color="FFFFFF"/>
              <w:left w:val="single" w:sz="8" w:space="0" w:color="FFFFFF"/>
              <w:bottom w:val="single" w:sz="8" w:space="0" w:color="FFFFFF"/>
              <w:right w:val="single" w:sz="8" w:space="0" w:color="2E74B5" w:themeColor="accent1" w:themeShade="BF"/>
            </w:tcBorders>
            <w:shd w:val="clear" w:color="auto" w:fill="16365E"/>
            <w:noWrap/>
            <w:vAlign w:val="center"/>
            <w:hideMark/>
          </w:tcPr>
          <w:p w14:paraId="44B264F9" w14:textId="4DDB783E" w:rsidR="002A1F80" w:rsidRPr="00F33DBE" w:rsidRDefault="002A1F80" w:rsidP="002A1F80">
            <w:pPr>
              <w:spacing w:after="0" w:line="240" w:lineRule="auto"/>
              <w:rPr>
                <w:rFonts w:eastAsia="Times New Roman" w:cstheme="minorHAnsi"/>
                <w:b/>
                <w:bCs/>
                <w:sz w:val="20"/>
                <w:szCs w:val="20"/>
                <w:lang w:eastAsia="es-ES"/>
              </w:rPr>
            </w:pPr>
            <w:r w:rsidRPr="00F33DBE">
              <w:rPr>
                <w:rFonts w:eastAsia="Times New Roman" w:cstheme="minorHAnsi"/>
                <w:b/>
                <w:bCs/>
                <w:sz w:val="20"/>
                <w:szCs w:val="20"/>
                <w:lang w:eastAsia="es-ES"/>
              </w:rPr>
              <w:t>TOTAL REGÍMENES</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0AD88053" w14:textId="67B11DE6"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15.264.133</w:t>
            </w:r>
          </w:p>
        </w:tc>
        <w:tc>
          <w:tcPr>
            <w:tcW w:w="130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2EBF97CA" w14:textId="55405305"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79,69</w:t>
            </w:r>
          </w:p>
        </w:tc>
        <w:tc>
          <w:tcPr>
            <w:tcW w:w="116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072EFD99" w14:textId="4F8BC812"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3.889.821</w:t>
            </w:r>
          </w:p>
        </w:tc>
        <w:tc>
          <w:tcPr>
            <w:tcW w:w="174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30C3888F" w14:textId="1F08125E" w:rsidR="002A1F80" w:rsidRPr="002A1F80" w:rsidRDefault="002A1F80" w:rsidP="002A1F80">
            <w:pPr>
              <w:autoSpaceDE w:val="0"/>
              <w:autoSpaceDN w:val="0"/>
              <w:adjustRightInd w:val="0"/>
              <w:spacing w:after="0" w:line="240" w:lineRule="auto"/>
              <w:jc w:val="center"/>
              <w:rPr>
                <w:sz w:val="20"/>
                <w:szCs w:val="20"/>
              </w:rPr>
            </w:pPr>
            <w:r w:rsidRPr="002A1F80">
              <w:rPr>
                <w:sz w:val="20"/>
                <w:szCs w:val="20"/>
              </w:rPr>
              <w:t>20,31</w:t>
            </w:r>
          </w:p>
        </w:tc>
        <w:tc>
          <w:tcPr>
            <w:tcW w:w="1150"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16365E"/>
            <w:noWrap/>
            <w:vAlign w:val="center"/>
          </w:tcPr>
          <w:p w14:paraId="585AB5B5" w14:textId="319A6D2A" w:rsidR="002A1F80" w:rsidRPr="002A1F80" w:rsidRDefault="002A1F80" w:rsidP="002A1F80">
            <w:pPr>
              <w:autoSpaceDE w:val="0"/>
              <w:autoSpaceDN w:val="0"/>
              <w:adjustRightInd w:val="0"/>
              <w:spacing w:after="0" w:line="240" w:lineRule="auto"/>
              <w:jc w:val="right"/>
              <w:rPr>
                <w:sz w:val="20"/>
                <w:szCs w:val="20"/>
              </w:rPr>
            </w:pPr>
            <w:r w:rsidRPr="002A1F80">
              <w:rPr>
                <w:sz w:val="20"/>
                <w:szCs w:val="20"/>
              </w:rPr>
              <w:t>19.153.954</w:t>
            </w:r>
          </w:p>
        </w:tc>
      </w:tr>
    </w:tbl>
    <w:p w14:paraId="18774CAD" w14:textId="368CA14B" w:rsidR="00686A52" w:rsidRPr="00DB754C" w:rsidRDefault="00DB754C" w:rsidP="00686A52">
      <w:pPr>
        <w:rPr>
          <w:rFonts w:cstheme="minorHAnsi"/>
          <w:sz w:val="14"/>
          <w:szCs w:val="14"/>
        </w:rPr>
      </w:pPr>
      <w:r w:rsidRPr="000F4DB1">
        <w:rPr>
          <w:rFonts w:cstheme="minorHAnsi"/>
          <w:b/>
          <w:bCs/>
          <w:sz w:val="14"/>
          <w:szCs w:val="14"/>
        </w:rPr>
        <w:t>Fuente:</w:t>
      </w:r>
      <w:r>
        <w:rPr>
          <w:rFonts w:cstheme="minorHAnsi"/>
          <w:b/>
          <w:bCs/>
          <w:sz w:val="14"/>
          <w:szCs w:val="14"/>
        </w:rPr>
        <w:t xml:space="preserve"> </w:t>
      </w:r>
      <w:r w:rsidRPr="000F4DB1">
        <w:rPr>
          <w:rFonts w:cstheme="minorHAnsi"/>
          <w:sz w:val="14"/>
          <w:szCs w:val="14"/>
        </w:rPr>
        <w:t xml:space="preserve">Tesorería General de la Seguridad Social. </w:t>
      </w:r>
    </w:p>
    <w:p w14:paraId="3590EC5F" w14:textId="2A7FFC51" w:rsidR="00686A52" w:rsidRPr="00686A52" w:rsidRDefault="00686A52" w:rsidP="00686A52">
      <w:pPr>
        <w:rPr>
          <w:rFonts w:cstheme="minorHAnsi"/>
          <w:sz w:val="14"/>
          <w:szCs w:val="14"/>
        </w:rPr>
      </w:pPr>
      <w:r w:rsidRPr="00686A52">
        <w:rPr>
          <w:rFonts w:cstheme="minorHAnsi"/>
          <w:sz w:val="14"/>
          <w:szCs w:val="14"/>
        </w:rPr>
        <w:t xml:space="preserve">(*) </w:t>
      </w:r>
      <w:r w:rsidRPr="00686A52">
        <w:rPr>
          <w:rFonts w:cstheme="minorHAnsi"/>
          <w:b/>
          <w:bCs/>
          <w:sz w:val="14"/>
          <w:szCs w:val="14"/>
        </w:rPr>
        <w:t>Nota</w:t>
      </w:r>
      <w:r w:rsidRPr="00686A52">
        <w:rPr>
          <w:rFonts w:cstheme="minorHAnsi"/>
          <w:sz w:val="14"/>
          <w:szCs w:val="14"/>
        </w:rPr>
        <w:t xml:space="preserve">: </w:t>
      </w:r>
      <w:r w:rsidR="00421763" w:rsidRPr="00421763">
        <w:rPr>
          <w:sz w:val="14"/>
          <w:szCs w:val="14"/>
        </w:rPr>
        <w:t>Excluidos los Sistemas Especiales Agrario y de Empleados de Hogar del Régimen General en tanto no se desarrollen los nuevos criterios de contabilización de afiliados de dichos Sistemas Especiales.</w:t>
      </w:r>
    </w:p>
    <w:p w14:paraId="72F755D5" w14:textId="11317341" w:rsidR="00CA688C" w:rsidRDefault="00CA688C">
      <w:pPr>
        <w:rPr>
          <w:rFonts w:eastAsia="Times New Roman" w:cstheme="minorHAnsi"/>
          <w:sz w:val="24"/>
          <w:szCs w:val="24"/>
          <w:lang w:eastAsia="es-ES"/>
        </w:rPr>
      </w:pPr>
      <w:r>
        <w:rPr>
          <w:rFonts w:eastAsia="Times New Roman" w:cstheme="minorHAnsi"/>
          <w:sz w:val="24"/>
          <w:szCs w:val="24"/>
          <w:lang w:eastAsia="es-ES"/>
        </w:rPr>
        <w:br w:type="page"/>
      </w:r>
    </w:p>
    <w:p w14:paraId="0AB3AA8E" w14:textId="77777777" w:rsidR="00617E6F" w:rsidRDefault="00C61D6A" w:rsidP="00C61D6A">
      <w:pPr>
        <w:shd w:val="clear" w:color="auto" w:fill="FFFFFF"/>
        <w:spacing w:after="0" w:line="240" w:lineRule="auto"/>
        <w:jc w:val="center"/>
        <w:rPr>
          <w:rFonts w:eastAsia="Times New Roman" w:cstheme="minorHAnsi"/>
          <w:b/>
          <w:sz w:val="24"/>
          <w:szCs w:val="24"/>
          <w:lang w:eastAsia="es-ES"/>
        </w:rPr>
      </w:pPr>
      <w:r w:rsidRPr="0058031B">
        <w:rPr>
          <w:rFonts w:eastAsia="Times New Roman" w:cstheme="minorHAnsi"/>
          <w:b/>
          <w:sz w:val="24"/>
          <w:szCs w:val="24"/>
          <w:lang w:eastAsia="es-ES"/>
        </w:rPr>
        <w:lastRenderedPageBreak/>
        <w:t xml:space="preserve">CUOTA DE MERCADO </w:t>
      </w:r>
    </w:p>
    <w:p w14:paraId="1AC83405" w14:textId="3F0DAD07" w:rsidR="00C61D6A" w:rsidRDefault="00C61D6A" w:rsidP="00C61D6A">
      <w:pPr>
        <w:shd w:val="clear" w:color="auto" w:fill="FFFFFF"/>
        <w:spacing w:after="0" w:line="240" w:lineRule="auto"/>
        <w:jc w:val="center"/>
        <w:rPr>
          <w:rFonts w:eastAsia="Times New Roman" w:cstheme="minorHAnsi"/>
          <w:b/>
          <w:sz w:val="24"/>
          <w:szCs w:val="24"/>
          <w:lang w:eastAsia="es-ES"/>
        </w:rPr>
      </w:pPr>
      <w:r w:rsidRPr="0058031B">
        <w:rPr>
          <w:rFonts w:eastAsia="Times New Roman" w:cstheme="minorHAnsi"/>
          <w:b/>
          <w:sz w:val="24"/>
          <w:szCs w:val="24"/>
          <w:lang w:eastAsia="es-ES"/>
        </w:rPr>
        <w:t xml:space="preserve">SECTOR DE MUTUAS COLABORADORAS CON LA SEGURIDAD SOCIAL </w:t>
      </w:r>
    </w:p>
    <w:p w14:paraId="3E98CA48" w14:textId="77777777" w:rsidR="005E6579" w:rsidRPr="0058031B" w:rsidRDefault="005E6579" w:rsidP="00C61D6A">
      <w:pPr>
        <w:shd w:val="clear" w:color="auto" w:fill="FFFFFF"/>
        <w:spacing w:after="0" w:line="240" w:lineRule="auto"/>
        <w:jc w:val="center"/>
        <w:rPr>
          <w:rFonts w:eastAsia="Times New Roman" w:cstheme="minorHAnsi"/>
          <w:b/>
          <w:sz w:val="24"/>
          <w:szCs w:val="24"/>
          <w:lang w:eastAsia="es-ES"/>
        </w:rPr>
      </w:pPr>
    </w:p>
    <w:p w14:paraId="10064565" w14:textId="77777777" w:rsidR="00C61D6A" w:rsidRPr="00C6649D" w:rsidRDefault="00C61D6A" w:rsidP="00C61D6A">
      <w:pPr>
        <w:pStyle w:val="Textoindependiente2"/>
        <w:spacing w:line="160" w:lineRule="atLeast"/>
        <w:rPr>
          <w:rFonts w:asciiTheme="minorHAnsi" w:hAnsiTheme="minorHAnsi" w:cstheme="minorHAnsi"/>
          <w:b/>
          <w:color w:val="FF0000"/>
          <w:szCs w:val="28"/>
        </w:rPr>
      </w:pPr>
      <w:r w:rsidRPr="00C6649D">
        <w:rPr>
          <w:rFonts w:cstheme="minorHAnsi"/>
          <w:noProof/>
          <w:color w:val="FF0000"/>
        </w:rPr>
        <w:drawing>
          <wp:inline distT="0" distB="0" distL="0" distR="0" wp14:anchorId="017F5E22" wp14:editId="26E4D011">
            <wp:extent cx="5400040" cy="317182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A0EFEF" w14:textId="77777777" w:rsidR="00C61D6A" w:rsidRPr="00BC3A22" w:rsidRDefault="00C61D6A" w:rsidP="00C61D6A">
      <w:pPr>
        <w:pStyle w:val="Textoindependiente2"/>
        <w:spacing w:line="160" w:lineRule="atLeast"/>
        <w:rPr>
          <w:rFonts w:asciiTheme="minorHAnsi" w:hAnsiTheme="minorHAnsi" w:cstheme="minorHAnsi"/>
          <w:b/>
        </w:rPr>
      </w:pPr>
    </w:p>
    <w:p w14:paraId="48217F29" w14:textId="77777777" w:rsidR="00C61D6A" w:rsidRPr="00BC3A22" w:rsidRDefault="00C61D6A" w:rsidP="00C61D6A">
      <w:pPr>
        <w:pStyle w:val="Textoindependiente2"/>
        <w:spacing w:line="340" w:lineRule="atLeast"/>
        <w:rPr>
          <w:rFonts w:asciiTheme="minorHAnsi" w:hAnsiTheme="minorHAnsi" w:cstheme="minorHAnsi"/>
        </w:rPr>
      </w:pPr>
      <w:r w:rsidRPr="00BC3A22">
        <w:rPr>
          <w:rFonts w:asciiTheme="minorHAnsi" w:hAnsiTheme="minorHAnsi" w:cstheme="minorHAnsi"/>
          <w:noProof/>
        </w:rPr>
        <w:drawing>
          <wp:inline distT="0" distB="0" distL="0" distR="0" wp14:anchorId="6A773758" wp14:editId="41427FCD">
            <wp:extent cx="5400040" cy="315023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488C21" w14:textId="77777777" w:rsidR="00CA688C" w:rsidRDefault="00CA688C">
      <w:pPr>
        <w:rPr>
          <w:rStyle w:val="Textoennegrita"/>
          <w:rFonts w:eastAsia="Times New Roman" w:cstheme="minorHAnsi"/>
          <w:color w:val="222222"/>
          <w:sz w:val="24"/>
          <w:szCs w:val="24"/>
          <w:u w:val="single"/>
          <w:lang w:eastAsia="es-ES"/>
        </w:rPr>
      </w:pPr>
      <w:r>
        <w:rPr>
          <w:rStyle w:val="Textoennegrita"/>
          <w:rFonts w:cstheme="minorHAnsi"/>
          <w:color w:val="222222"/>
          <w:u w:val="single"/>
        </w:rPr>
        <w:br w:type="page"/>
      </w:r>
    </w:p>
    <w:p w14:paraId="3E6A4D18" w14:textId="14E005BB" w:rsidR="0058031B" w:rsidRPr="003C5D8F" w:rsidRDefault="0058031B" w:rsidP="00AF23B3">
      <w:pPr>
        <w:pStyle w:val="NormalWeb"/>
        <w:ind w:left="708"/>
        <w:jc w:val="both"/>
        <w:rPr>
          <w:rFonts w:asciiTheme="minorHAnsi" w:hAnsiTheme="minorHAnsi" w:cstheme="minorHAnsi"/>
          <w:color w:val="333333"/>
        </w:rPr>
      </w:pPr>
      <w:r w:rsidRPr="003C5D8F">
        <w:rPr>
          <w:rStyle w:val="Textoennegrita"/>
          <w:rFonts w:asciiTheme="minorHAnsi" w:hAnsiTheme="minorHAnsi" w:cstheme="minorHAnsi"/>
          <w:color w:val="222222"/>
          <w:u w:val="single"/>
        </w:rPr>
        <w:lastRenderedPageBreak/>
        <w:t>Afiliación en el total del Sistema</w:t>
      </w:r>
      <w:r w:rsidRPr="003C5D8F">
        <w:rPr>
          <w:rFonts w:asciiTheme="minorHAnsi" w:hAnsiTheme="minorHAnsi" w:cstheme="minorHAnsi"/>
          <w:color w:val="222222"/>
        </w:rPr>
        <w:t>:</w:t>
      </w:r>
    </w:p>
    <w:p w14:paraId="0F1C5DA0" w14:textId="77777777" w:rsidR="0058031B" w:rsidRPr="003C5D8F" w:rsidRDefault="0058031B" w:rsidP="0058031B">
      <w:pPr>
        <w:pStyle w:val="NormalWeb"/>
        <w:jc w:val="both"/>
        <w:rPr>
          <w:rFonts w:asciiTheme="minorHAnsi" w:hAnsiTheme="minorHAnsi" w:cstheme="minorHAnsi"/>
          <w:color w:val="333333"/>
        </w:rPr>
      </w:pPr>
      <w:r w:rsidRPr="003C5D8F">
        <w:rPr>
          <w:rFonts w:asciiTheme="minorHAnsi" w:hAnsiTheme="minorHAnsi" w:cstheme="minorHAnsi"/>
          <w:color w:val="222222"/>
          <w:u w:val="single"/>
        </w:rPr>
        <w:t>Por Contingencias Profesionales</w:t>
      </w:r>
      <w:r w:rsidRPr="003C5D8F">
        <w:rPr>
          <w:rFonts w:asciiTheme="minorHAnsi" w:hAnsiTheme="minorHAnsi" w:cstheme="minorHAnsi"/>
          <w:color w:val="222222"/>
        </w:rPr>
        <w:t>:</w:t>
      </w:r>
    </w:p>
    <w:p w14:paraId="3F1FB6A7" w14:textId="77777777" w:rsidR="00A9292C" w:rsidRPr="00A9292C" w:rsidRDefault="00A9292C" w:rsidP="00A9292C">
      <w:pPr>
        <w:spacing w:after="0"/>
        <w:jc w:val="both"/>
        <w:rPr>
          <w:rFonts w:cstheme="minorHAnsi"/>
          <w:sz w:val="24"/>
          <w:szCs w:val="24"/>
        </w:rPr>
      </w:pPr>
      <w:r w:rsidRPr="00A9292C">
        <w:rPr>
          <w:rFonts w:cstheme="minorHAnsi"/>
          <w:sz w:val="24"/>
          <w:szCs w:val="24"/>
        </w:rPr>
        <w:t xml:space="preserve">Para el total del Sistema, la </w:t>
      </w:r>
      <w:r w:rsidRPr="00A9292C">
        <w:rPr>
          <w:rFonts w:cstheme="minorHAnsi"/>
          <w:b/>
          <w:bCs/>
          <w:sz w:val="24"/>
          <w:szCs w:val="24"/>
        </w:rPr>
        <w:t xml:space="preserve">afiliación </w:t>
      </w:r>
      <w:r w:rsidRPr="00A9292C">
        <w:rPr>
          <w:rFonts w:cstheme="minorHAnsi"/>
          <w:sz w:val="24"/>
          <w:szCs w:val="24"/>
        </w:rPr>
        <w:t xml:space="preserve">de empresas por Contingencias Profesionales ha pasado de 1.452.036 en </w:t>
      </w:r>
      <w:proofErr w:type="gramStart"/>
      <w:r w:rsidRPr="00A9292C">
        <w:rPr>
          <w:rFonts w:cstheme="minorHAnsi"/>
          <w:sz w:val="24"/>
          <w:szCs w:val="24"/>
        </w:rPr>
        <w:t>Junio</w:t>
      </w:r>
      <w:proofErr w:type="gramEnd"/>
      <w:r w:rsidRPr="00A9292C">
        <w:rPr>
          <w:rFonts w:cstheme="minorHAnsi"/>
          <w:sz w:val="24"/>
          <w:szCs w:val="24"/>
        </w:rPr>
        <w:t xml:space="preserve"> de 2022 a </w:t>
      </w:r>
      <w:r w:rsidRPr="00A9292C">
        <w:rPr>
          <w:rFonts w:cstheme="minorHAnsi"/>
          <w:b/>
          <w:bCs/>
          <w:sz w:val="24"/>
          <w:szCs w:val="24"/>
        </w:rPr>
        <w:t xml:space="preserve">1.455.698 </w:t>
      </w:r>
      <w:r w:rsidRPr="00A9292C">
        <w:rPr>
          <w:rFonts w:cstheme="minorHAnsi"/>
          <w:sz w:val="24"/>
          <w:szCs w:val="24"/>
        </w:rPr>
        <w:t xml:space="preserve">en Junio de 2023, con un incremento del </w:t>
      </w:r>
      <w:r w:rsidRPr="00A9292C">
        <w:rPr>
          <w:rFonts w:cstheme="minorHAnsi"/>
          <w:b/>
          <w:bCs/>
          <w:sz w:val="24"/>
          <w:szCs w:val="24"/>
        </w:rPr>
        <w:t xml:space="preserve">0,25%. </w:t>
      </w:r>
      <w:r w:rsidRPr="00A9292C">
        <w:rPr>
          <w:rFonts w:cstheme="minorHAnsi"/>
          <w:sz w:val="24"/>
          <w:szCs w:val="24"/>
        </w:rPr>
        <w:t xml:space="preserve">El número de </w:t>
      </w:r>
      <w:r w:rsidRPr="00A9292C">
        <w:rPr>
          <w:rFonts w:cstheme="minorHAnsi"/>
          <w:b/>
          <w:bCs/>
          <w:sz w:val="24"/>
          <w:szCs w:val="24"/>
        </w:rPr>
        <w:t xml:space="preserve">trabajadores protegidos </w:t>
      </w:r>
      <w:r w:rsidRPr="00A9292C">
        <w:rPr>
          <w:rFonts w:cstheme="minorHAnsi"/>
          <w:sz w:val="24"/>
          <w:szCs w:val="24"/>
        </w:rPr>
        <w:t xml:space="preserve">afiliados por Contingencias Profesionales se ha incrementado pasando de 18.873.047 trabajadores en </w:t>
      </w:r>
      <w:proofErr w:type="gramStart"/>
      <w:r w:rsidRPr="00A9292C">
        <w:rPr>
          <w:rFonts w:cstheme="minorHAnsi"/>
          <w:sz w:val="24"/>
          <w:szCs w:val="24"/>
        </w:rPr>
        <w:t>Junio</w:t>
      </w:r>
      <w:proofErr w:type="gramEnd"/>
      <w:r w:rsidRPr="00A9292C">
        <w:rPr>
          <w:rFonts w:cstheme="minorHAnsi"/>
          <w:sz w:val="24"/>
          <w:szCs w:val="24"/>
        </w:rPr>
        <w:t xml:space="preserve"> de 2022 a </w:t>
      </w:r>
      <w:r w:rsidRPr="00A9292C">
        <w:rPr>
          <w:rFonts w:cstheme="minorHAnsi"/>
          <w:b/>
          <w:bCs/>
          <w:sz w:val="24"/>
          <w:szCs w:val="24"/>
        </w:rPr>
        <w:t xml:space="preserve">19.392.392 </w:t>
      </w:r>
      <w:r w:rsidRPr="00A9292C">
        <w:rPr>
          <w:rFonts w:cstheme="minorHAnsi"/>
          <w:sz w:val="24"/>
          <w:szCs w:val="24"/>
        </w:rPr>
        <w:t>en Junio de 2023, lo que representa un incremento del</w:t>
      </w:r>
      <w:r w:rsidRPr="00A9292C">
        <w:rPr>
          <w:rFonts w:cstheme="minorHAnsi"/>
          <w:b/>
          <w:bCs/>
          <w:sz w:val="24"/>
          <w:szCs w:val="24"/>
        </w:rPr>
        <w:t xml:space="preserve"> 2,75%</w:t>
      </w:r>
      <w:r w:rsidRPr="00A9292C">
        <w:rPr>
          <w:rFonts w:cstheme="minorHAnsi"/>
          <w:sz w:val="24"/>
          <w:szCs w:val="24"/>
        </w:rPr>
        <w:t xml:space="preserve">. </w:t>
      </w:r>
    </w:p>
    <w:p w14:paraId="54F912D7" w14:textId="545EB3DF" w:rsidR="001A19E5" w:rsidRPr="00831022" w:rsidRDefault="001A19E5" w:rsidP="001A19E5">
      <w:pPr>
        <w:pStyle w:val="NormalWeb"/>
        <w:jc w:val="both"/>
        <w:rPr>
          <w:rFonts w:asciiTheme="minorHAnsi" w:hAnsiTheme="minorHAnsi" w:cstheme="minorHAnsi"/>
          <w:color w:val="333333"/>
        </w:rPr>
      </w:pPr>
      <w:r w:rsidRPr="00831022">
        <w:rPr>
          <w:rFonts w:asciiTheme="minorHAnsi" w:hAnsiTheme="minorHAnsi" w:cstheme="minorHAnsi"/>
          <w:color w:val="222222"/>
          <w:u w:val="single"/>
        </w:rPr>
        <w:t>Por Contingencias Comunes</w:t>
      </w:r>
      <w:r w:rsidRPr="00831022">
        <w:rPr>
          <w:rFonts w:asciiTheme="minorHAnsi" w:hAnsiTheme="minorHAnsi" w:cstheme="minorHAnsi"/>
          <w:color w:val="222222"/>
        </w:rPr>
        <w:t>:</w:t>
      </w:r>
    </w:p>
    <w:p w14:paraId="0F5F4F17" w14:textId="77777777" w:rsidR="001772E3" w:rsidRPr="001772E3" w:rsidRDefault="001772E3" w:rsidP="001772E3">
      <w:pPr>
        <w:jc w:val="both"/>
        <w:rPr>
          <w:rFonts w:cstheme="minorHAnsi"/>
          <w:sz w:val="24"/>
          <w:szCs w:val="24"/>
        </w:rPr>
      </w:pPr>
      <w:r w:rsidRPr="001772E3">
        <w:rPr>
          <w:rFonts w:cstheme="minorHAnsi"/>
          <w:sz w:val="24"/>
          <w:szCs w:val="24"/>
        </w:rPr>
        <w:t xml:space="preserve">En lo que respecta a la </w:t>
      </w:r>
      <w:r w:rsidRPr="001772E3">
        <w:rPr>
          <w:rFonts w:cstheme="minorHAnsi"/>
          <w:b/>
          <w:bCs/>
          <w:sz w:val="24"/>
          <w:szCs w:val="24"/>
        </w:rPr>
        <w:t>afiliación</w:t>
      </w:r>
      <w:r w:rsidRPr="001772E3">
        <w:rPr>
          <w:rFonts w:cstheme="minorHAnsi"/>
          <w:sz w:val="24"/>
          <w:szCs w:val="24"/>
        </w:rPr>
        <w:t xml:space="preserve"> por Contingencias Comunes de la totalidad del Sistema, el número de </w:t>
      </w:r>
      <w:r w:rsidRPr="001772E3">
        <w:rPr>
          <w:rFonts w:cstheme="minorHAnsi"/>
          <w:b/>
          <w:bCs/>
          <w:sz w:val="24"/>
          <w:szCs w:val="24"/>
        </w:rPr>
        <w:t>empresas</w:t>
      </w:r>
      <w:r w:rsidRPr="001772E3">
        <w:rPr>
          <w:rFonts w:cstheme="minorHAnsi"/>
          <w:sz w:val="24"/>
          <w:szCs w:val="24"/>
        </w:rPr>
        <w:t xml:space="preserve"> ha pasado de 1.445.506 en </w:t>
      </w:r>
      <w:proofErr w:type="gramStart"/>
      <w:r w:rsidRPr="001772E3">
        <w:rPr>
          <w:rFonts w:cstheme="minorHAnsi"/>
          <w:sz w:val="24"/>
          <w:szCs w:val="24"/>
        </w:rPr>
        <w:t>Junio</w:t>
      </w:r>
      <w:proofErr w:type="gramEnd"/>
      <w:r w:rsidRPr="001772E3">
        <w:rPr>
          <w:rFonts w:cstheme="minorHAnsi"/>
          <w:sz w:val="24"/>
          <w:szCs w:val="24"/>
        </w:rPr>
        <w:t xml:space="preserve"> de 2022 a </w:t>
      </w:r>
      <w:r w:rsidRPr="001772E3">
        <w:rPr>
          <w:rFonts w:cstheme="minorHAnsi"/>
          <w:b/>
          <w:bCs/>
          <w:sz w:val="24"/>
          <w:szCs w:val="24"/>
        </w:rPr>
        <w:t>1.449.632</w:t>
      </w:r>
      <w:r w:rsidRPr="001772E3">
        <w:rPr>
          <w:rFonts w:cstheme="minorHAnsi"/>
          <w:sz w:val="24"/>
          <w:szCs w:val="24"/>
        </w:rPr>
        <w:t xml:space="preserve"> en Junio de 2023, con un incremento del </w:t>
      </w:r>
      <w:r w:rsidRPr="001772E3">
        <w:rPr>
          <w:rFonts w:cstheme="minorHAnsi"/>
          <w:b/>
          <w:bCs/>
          <w:sz w:val="24"/>
          <w:szCs w:val="24"/>
        </w:rPr>
        <w:t>0,29%</w:t>
      </w:r>
      <w:r w:rsidRPr="001772E3">
        <w:rPr>
          <w:rFonts w:cstheme="minorHAnsi"/>
          <w:sz w:val="24"/>
          <w:szCs w:val="24"/>
        </w:rPr>
        <w:t xml:space="preserve">. En el caso de los </w:t>
      </w:r>
      <w:r w:rsidRPr="001772E3">
        <w:rPr>
          <w:rFonts w:cstheme="minorHAnsi"/>
          <w:b/>
          <w:bCs/>
          <w:sz w:val="24"/>
          <w:szCs w:val="24"/>
        </w:rPr>
        <w:t>trabajadores protegidos</w:t>
      </w:r>
      <w:r w:rsidRPr="001772E3">
        <w:rPr>
          <w:rFonts w:cstheme="minorHAnsi"/>
          <w:sz w:val="24"/>
          <w:szCs w:val="24"/>
        </w:rPr>
        <w:t xml:space="preserve"> afiliados por Contingencias Comunes al Sistema, para los segmentos de población equivalente que pueden proteger las Mutuas, han pasado de 18.675.232 en </w:t>
      </w:r>
      <w:proofErr w:type="gramStart"/>
      <w:r w:rsidRPr="001772E3">
        <w:rPr>
          <w:rFonts w:cstheme="minorHAnsi"/>
          <w:sz w:val="24"/>
          <w:szCs w:val="24"/>
        </w:rPr>
        <w:t>Junio</w:t>
      </w:r>
      <w:proofErr w:type="gramEnd"/>
      <w:r w:rsidRPr="001772E3">
        <w:rPr>
          <w:rFonts w:cstheme="minorHAnsi"/>
          <w:sz w:val="24"/>
          <w:szCs w:val="24"/>
        </w:rPr>
        <w:t xml:space="preserve"> de 2022 a </w:t>
      </w:r>
      <w:r w:rsidRPr="001772E3">
        <w:rPr>
          <w:rFonts w:cstheme="minorHAnsi"/>
          <w:b/>
          <w:bCs/>
          <w:sz w:val="24"/>
          <w:szCs w:val="24"/>
        </w:rPr>
        <w:t>19.153.954</w:t>
      </w:r>
      <w:r w:rsidRPr="001772E3">
        <w:rPr>
          <w:rFonts w:cstheme="minorHAnsi"/>
          <w:sz w:val="24"/>
          <w:szCs w:val="24"/>
        </w:rPr>
        <w:t xml:space="preserve"> en Junio de 2023, lo que representa un incremento del </w:t>
      </w:r>
      <w:r w:rsidRPr="001772E3">
        <w:rPr>
          <w:rFonts w:cstheme="minorHAnsi"/>
          <w:b/>
          <w:bCs/>
          <w:sz w:val="24"/>
          <w:szCs w:val="24"/>
        </w:rPr>
        <w:t>2,56%.</w:t>
      </w:r>
    </w:p>
    <w:sectPr w:rsidR="001772E3" w:rsidRPr="001772E3" w:rsidSect="003A7FED">
      <w:headerReference w:type="default" r:id="rId10"/>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08C2" w14:textId="77777777" w:rsidR="00587BFB" w:rsidRDefault="00587BFB" w:rsidP="003163BB">
      <w:pPr>
        <w:spacing w:after="0" w:line="240" w:lineRule="auto"/>
      </w:pPr>
      <w:r>
        <w:separator/>
      </w:r>
    </w:p>
  </w:endnote>
  <w:endnote w:type="continuationSeparator" w:id="0">
    <w:p w14:paraId="24E95CA6" w14:textId="77777777" w:rsidR="00587BFB" w:rsidRDefault="00587BFB" w:rsidP="0031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7B99" w14:textId="77777777" w:rsidR="00587BFB" w:rsidRDefault="00587BFB" w:rsidP="003163BB">
      <w:pPr>
        <w:spacing w:after="0" w:line="240" w:lineRule="auto"/>
      </w:pPr>
      <w:r>
        <w:separator/>
      </w:r>
    </w:p>
  </w:footnote>
  <w:footnote w:type="continuationSeparator" w:id="0">
    <w:p w14:paraId="32011E05" w14:textId="77777777" w:rsidR="00587BFB" w:rsidRDefault="00587BFB" w:rsidP="003163BB">
      <w:pPr>
        <w:spacing w:after="0" w:line="240" w:lineRule="auto"/>
      </w:pPr>
      <w:r>
        <w:continuationSeparator/>
      </w:r>
    </w:p>
  </w:footnote>
  <w:footnote w:id="1">
    <w:p w14:paraId="699A8818" w14:textId="77777777" w:rsidR="002A1F80" w:rsidRDefault="002A1F80" w:rsidP="002A1F80">
      <w:pPr>
        <w:pStyle w:val="Textonotapie"/>
        <w:jc w:val="both"/>
      </w:pPr>
      <w:r w:rsidRPr="00AA5ABC">
        <w:rPr>
          <w:rStyle w:val="Refdenotaalpie"/>
          <w:rFonts w:ascii="Arial" w:hAnsi="Arial" w:cs="Arial"/>
          <w:color w:val="767171"/>
        </w:rPr>
        <w:footnoteRef/>
      </w:r>
      <w:r w:rsidRPr="00AA5ABC">
        <w:rPr>
          <w:rFonts w:ascii="Arial" w:hAnsi="Arial" w:cs="Arial"/>
          <w:color w:val="767171"/>
          <w:sz w:val="14"/>
          <w:szCs w:val="14"/>
        </w:rPr>
        <w:t xml:space="preserve">La disposición transitoria primera del Real Decreto-ley 28/2018, de 28 de diciembre, para la revalorización de las pensiones públicas y otras medidas urgentes en materia social, laboral y de empleo establece la obligatoriedad para los trabajadores incluidos en el ámbito de aplicación del Régimen Especial de la Seguridad Social de los Trabajadores por Cuenta Propia o incorporados a dicho régimen especial con anterioridad al 1 de enero de 1998 de optar por una Mutua colaboradora con la Seguridad Social para la protección por la prestación económica por incapacidad temporal. No obstante lo anterior, la disposición adicional vigésima octava del Real Decreto Legislativo 8/2015, de 30 de octubre por el que se aprueba el texto refundido de la Ley General de la Seguridad Social señala que la cobertura de la contingencia por Incapacidad Temporal, por cese de actividad y de formación profesional, no resultará obligatoria en el caso de socios de cooperativas incluidos en el Régimen Especial de la Seguridad Social de los Trabajadores por Cuenta Propia o Autónomos que dispongan de un sistema </w:t>
      </w:r>
      <w:proofErr w:type="spellStart"/>
      <w:r w:rsidRPr="00AA5ABC">
        <w:rPr>
          <w:rFonts w:ascii="Arial" w:hAnsi="Arial" w:cs="Arial"/>
          <w:color w:val="767171"/>
          <w:sz w:val="14"/>
          <w:szCs w:val="14"/>
        </w:rPr>
        <w:t>intercooperativo</w:t>
      </w:r>
      <w:proofErr w:type="spellEnd"/>
      <w:r w:rsidRPr="00AA5ABC">
        <w:rPr>
          <w:rFonts w:ascii="Arial" w:hAnsi="Arial" w:cs="Arial"/>
          <w:color w:val="767171"/>
          <w:sz w:val="14"/>
          <w:szCs w:val="14"/>
        </w:rPr>
        <w:t xml:space="preserve"> de prestaciones sociales, complementario al sistema público. Por otro lado, los trabajadores por cuenta propia del Régimen Especial del Mar pueden optar por su cobertura por una Mutua o por el Instituto Social de la Marina. Los trabajadores autónomos con 65 </w:t>
      </w:r>
      <w:proofErr w:type="gramStart"/>
      <w:r w:rsidRPr="00AA5ABC">
        <w:rPr>
          <w:rFonts w:ascii="Arial" w:hAnsi="Arial" w:cs="Arial"/>
          <w:color w:val="767171"/>
          <w:sz w:val="14"/>
          <w:szCs w:val="14"/>
        </w:rPr>
        <w:t>años de edad</w:t>
      </w:r>
      <w:proofErr w:type="gramEnd"/>
      <w:r w:rsidRPr="00AA5ABC">
        <w:rPr>
          <w:rFonts w:ascii="Arial" w:hAnsi="Arial" w:cs="Arial"/>
          <w:color w:val="767171"/>
          <w:sz w:val="14"/>
          <w:szCs w:val="14"/>
        </w:rPr>
        <w:t xml:space="preserve"> y 38 años y seis meses cotizados o 67 años de edad y 37 de cotización están exentos de cotizar.</w:t>
      </w:r>
    </w:p>
  </w:footnote>
  <w:footnote w:id="2">
    <w:p w14:paraId="303FFFDA" w14:textId="77777777" w:rsidR="00AC4B57" w:rsidRDefault="00AC4B57" w:rsidP="00AC4B57">
      <w:pPr>
        <w:pStyle w:val="Textonotapie"/>
        <w:jc w:val="both"/>
      </w:pPr>
      <w:r w:rsidRPr="00AA5ABC">
        <w:rPr>
          <w:rStyle w:val="Refdenotaalpie"/>
          <w:rFonts w:ascii="Arial" w:hAnsi="Arial" w:cs="Arial"/>
          <w:color w:val="767171"/>
        </w:rPr>
        <w:footnoteRef/>
      </w:r>
      <w:r w:rsidRPr="00AA5ABC">
        <w:rPr>
          <w:rFonts w:ascii="Arial" w:hAnsi="Arial" w:cs="Arial"/>
          <w:color w:val="767171"/>
          <w:sz w:val="14"/>
          <w:szCs w:val="14"/>
        </w:rPr>
        <w:t xml:space="preserve">La disposición transitoria primera del Real Decreto-ley 28/2018, de 28 de diciembre, para la revalorización de las pensiones públicas y otras medidas urgentes en materia social, laboral y de empleo establece la obligatoriedad para los trabajadores incluidos en el ámbito de aplicación del Régimen Especial de la Seguridad Social de los Trabajadores por Cuenta Propia o incorporados a dicho régimen especial con anterioridad al 1 de enero de 1998 de optar por una Mutua colaboradora con la Seguridad Social para la protección por la prestación económica por incapacidad temporal. No obstante lo anterior, la disposición adicional vigésima octava del Real Decreto Legislativo 8/2015, de 30 de octubre por el que se aprueba el texto refundido de la Ley General de la Seguridad Social señala que la cobertura de la contingencia por Incapacidad Temporal, por cese de actividad y de formación profesional, no resultará obligatoria en el caso de socios de cooperativas incluidos en el Régimen Especial de la Seguridad Social de los Trabajadores por Cuenta Propia o Autónomos que dispongan de un sistema </w:t>
      </w:r>
      <w:proofErr w:type="spellStart"/>
      <w:r w:rsidRPr="00AA5ABC">
        <w:rPr>
          <w:rFonts w:ascii="Arial" w:hAnsi="Arial" w:cs="Arial"/>
          <w:color w:val="767171"/>
          <w:sz w:val="14"/>
          <w:szCs w:val="14"/>
        </w:rPr>
        <w:t>intercooperativo</w:t>
      </w:r>
      <w:proofErr w:type="spellEnd"/>
      <w:r w:rsidRPr="00AA5ABC">
        <w:rPr>
          <w:rFonts w:ascii="Arial" w:hAnsi="Arial" w:cs="Arial"/>
          <w:color w:val="767171"/>
          <w:sz w:val="14"/>
          <w:szCs w:val="14"/>
        </w:rPr>
        <w:t xml:space="preserve"> de prestaciones sociales, complementario al sistema público. Por otro lado, los trabajadores por cuenta propia del Régimen Especial del Mar pueden optar por su cobertura por una Mutua o por el Instituto Social de la Marina. Los trabajadores autónomos con 65 </w:t>
      </w:r>
      <w:proofErr w:type="gramStart"/>
      <w:r w:rsidRPr="00AA5ABC">
        <w:rPr>
          <w:rFonts w:ascii="Arial" w:hAnsi="Arial" w:cs="Arial"/>
          <w:color w:val="767171"/>
          <w:sz w:val="14"/>
          <w:szCs w:val="14"/>
        </w:rPr>
        <w:t>años de edad</w:t>
      </w:r>
      <w:proofErr w:type="gramEnd"/>
      <w:r w:rsidRPr="00AA5ABC">
        <w:rPr>
          <w:rFonts w:ascii="Arial" w:hAnsi="Arial" w:cs="Arial"/>
          <w:color w:val="767171"/>
          <w:sz w:val="14"/>
          <w:szCs w:val="14"/>
        </w:rPr>
        <w:t xml:space="preserve"> y 38 años y seis meses cotizados o 67 años de edad y 37 de cotización están exentos de cotizar.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48CC" w14:textId="33489F0D" w:rsidR="000E1E8D" w:rsidRPr="00BD08D5" w:rsidRDefault="000E1E8D" w:rsidP="003A7FED">
    <w:pPr>
      <w:pStyle w:val="Encabezado"/>
      <w:tabs>
        <w:tab w:val="clear" w:pos="4252"/>
        <w:tab w:val="clear" w:pos="8504"/>
        <w:tab w:val="right" w:pos="7938"/>
      </w:tabs>
      <w:spacing w:line="360" w:lineRule="auto"/>
      <w:ind w:right="-1"/>
      <w:jc w:val="right"/>
      <w:rPr>
        <w:rFonts w:ascii="Arial" w:hAnsi="Arial" w:cs="Arial"/>
        <w:b/>
        <w:color w:val="1F4E79"/>
        <w:sz w:val="18"/>
      </w:rPr>
    </w:pPr>
  </w:p>
  <w:p w14:paraId="712E8556" w14:textId="4091CBAC" w:rsidR="000E1E8D" w:rsidRDefault="00000790" w:rsidP="003A7FED">
    <w:pPr>
      <w:pStyle w:val="Encabezado"/>
      <w:jc w:val="right"/>
    </w:pPr>
    <w:r w:rsidRPr="00000790">
      <w:rPr>
        <w:noProof/>
      </w:rPr>
      <w:drawing>
        <wp:inline distT="0" distB="0" distL="0" distR="0" wp14:anchorId="09E84962" wp14:editId="3699E495">
          <wp:extent cx="2214000" cy="6300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000" cy="63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C7F14"/>
    <w:multiLevelType w:val="hybridMultilevel"/>
    <w:tmpl w:val="29DC5F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BB1752"/>
    <w:multiLevelType w:val="hybridMultilevel"/>
    <w:tmpl w:val="52005946"/>
    <w:lvl w:ilvl="0" w:tplc="1E0ADF34">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196888875">
    <w:abstractNumId w:val="1"/>
  </w:num>
  <w:num w:numId="2" w16cid:durableId="9236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BB"/>
    <w:rsid w:val="00000790"/>
    <w:rsid w:val="00002E1B"/>
    <w:rsid w:val="000033CE"/>
    <w:rsid w:val="00007E26"/>
    <w:rsid w:val="00015980"/>
    <w:rsid w:val="0003041F"/>
    <w:rsid w:val="0003045D"/>
    <w:rsid w:val="00031B66"/>
    <w:rsid w:val="00037160"/>
    <w:rsid w:val="0005024F"/>
    <w:rsid w:val="00051A7B"/>
    <w:rsid w:val="000544EB"/>
    <w:rsid w:val="00057FC0"/>
    <w:rsid w:val="00064CB3"/>
    <w:rsid w:val="000819D5"/>
    <w:rsid w:val="000B13F3"/>
    <w:rsid w:val="000C6A27"/>
    <w:rsid w:val="000C6ACF"/>
    <w:rsid w:val="000D57E9"/>
    <w:rsid w:val="000E1E8D"/>
    <w:rsid w:val="000E5E66"/>
    <w:rsid w:val="000F4DB1"/>
    <w:rsid w:val="0010042E"/>
    <w:rsid w:val="00104CD0"/>
    <w:rsid w:val="00105EE2"/>
    <w:rsid w:val="00113803"/>
    <w:rsid w:val="00114A6C"/>
    <w:rsid w:val="0013058F"/>
    <w:rsid w:val="00145B16"/>
    <w:rsid w:val="001772E3"/>
    <w:rsid w:val="0018375B"/>
    <w:rsid w:val="00191678"/>
    <w:rsid w:val="001A19E5"/>
    <w:rsid w:val="001B128A"/>
    <w:rsid w:val="001C0E00"/>
    <w:rsid w:val="001C126F"/>
    <w:rsid w:val="001C67B4"/>
    <w:rsid w:val="001D3EBE"/>
    <w:rsid w:val="001D7589"/>
    <w:rsid w:val="001E1C82"/>
    <w:rsid w:val="001E5CAF"/>
    <w:rsid w:val="001F34C0"/>
    <w:rsid w:val="00215FE7"/>
    <w:rsid w:val="002377B4"/>
    <w:rsid w:val="00244C16"/>
    <w:rsid w:val="00245168"/>
    <w:rsid w:val="00252FF5"/>
    <w:rsid w:val="00255EE1"/>
    <w:rsid w:val="0027275D"/>
    <w:rsid w:val="00272BAB"/>
    <w:rsid w:val="002856A5"/>
    <w:rsid w:val="00291FAC"/>
    <w:rsid w:val="0029312C"/>
    <w:rsid w:val="002A0F53"/>
    <w:rsid w:val="002A1F80"/>
    <w:rsid w:val="002C04FD"/>
    <w:rsid w:val="002C199D"/>
    <w:rsid w:val="002E22A5"/>
    <w:rsid w:val="002F0192"/>
    <w:rsid w:val="003057FE"/>
    <w:rsid w:val="003163BB"/>
    <w:rsid w:val="00320B02"/>
    <w:rsid w:val="003236C4"/>
    <w:rsid w:val="00343121"/>
    <w:rsid w:val="00343526"/>
    <w:rsid w:val="003435E5"/>
    <w:rsid w:val="00356D1E"/>
    <w:rsid w:val="00360C68"/>
    <w:rsid w:val="00362E2A"/>
    <w:rsid w:val="00370817"/>
    <w:rsid w:val="003927EA"/>
    <w:rsid w:val="00394317"/>
    <w:rsid w:val="00397B1B"/>
    <w:rsid w:val="003A414C"/>
    <w:rsid w:val="003A5B5A"/>
    <w:rsid w:val="003A7FED"/>
    <w:rsid w:val="003C5D8F"/>
    <w:rsid w:val="003D0783"/>
    <w:rsid w:val="003D2EE8"/>
    <w:rsid w:val="003D38FC"/>
    <w:rsid w:val="003D3C7F"/>
    <w:rsid w:val="003E38C7"/>
    <w:rsid w:val="003F5085"/>
    <w:rsid w:val="00421763"/>
    <w:rsid w:val="00427C7F"/>
    <w:rsid w:val="00430194"/>
    <w:rsid w:val="0043214C"/>
    <w:rsid w:val="00445971"/>
    <w:rsid w:val="004519C1"/>
    <w:rsid w:val="004569DF"/>
    <w:rsid w:val="00465F08"/>
    <w:rsid w:val="00472DDF"/>
    <w:rsid w:val="004763FC"/>
    <w:rsid w:val="00486207"/>
    <w:rsid w:val="00492697"/>
    <w:rsid w:val="004B2E70"/>
    <w:rsid w:val="004C3E4F"/>
    <w:rsid w:val="004C63A0"/>
    <w:rsid w:val="004C7CBE"/>
    <w:rsid w:val="004E0850"/>
    <w:rsid w:val="004E3216"/>
    <w:rsid w:val="004E6F53"/>
    <w:rsid w:val="004E714F"/>
    <w:rsid w:val="004F1DF3"/>
    <w:rsid w:val="00502A60"/>
    <w:rsid w:val="00507AC7"/>
    <w:rsid w:val="00520FB1"/>
    <w:rsid w:val="00521521"/>
    <w:rsid w:val="00556116"/>
    <w:rsid w:val="0056694D"/>
    <w:rsid w:val="0058031B"/>
    <w:rsid w:val="00583BF5"/>
    <w:rsid w:val="005876F8"/>
    <w:rsid w:val="00587BFB"/>
    <w:rsid w:val="00591135"/>
    <w:rsid w:val="00591917"/>
    <w:rsid w:val="00594381"/>
    <w:rsid w:val="00596DEF"/>
    <w:rsid w:val="00597AC8"/>
    <w:rsid w:val="005A75BE"/>
    <w:rsid w:val="005D4A5C"/>
    <w:rsid w:val="005E3499"/>
    <w:rsid w:val="005E6579"/>
    <w:rsid w:val="005F5E36"/>
    <w:rsid w:val="006036C9"/>
    <w:rsid w:val="006064AE"/>
    <w:rsid w:val="0061027D"/>
    <w:rsid w:val="00611B62"/>
    <w:rsid w:val="00617E6F"/>
    <w:rsid w:val="00631A40"/>
    <w:rsid w:val="00634C75"/>
    <w:rsid w:val="0065036A"/>
    <w:rsid w:val="006757E0"/>
    <w:rsid w:val="00676DBD"/>
    <w:rsid w:val="00686A52"/>
    <w:rsid w:val="00690DCE"/>
    <w:rsid w:val="0069131C"/>
    <w:rsid w:val="00696A61"/>
    <w:rsid w:val="006A4169"/>
    <w:rsid w:val="006B773A"/>
    <w:rsid w:val="006D0BD6"/>
    <w:rsid w:val="006D3639"/>
    <w:rsid w:val="006D49DD"/>
    <w:rsid w:val="006E153F"/>
    <w:rsid w:val="006E191B"/>
    <w:rsid w:val="006E53A7"/>
    <w:rsid w:val="006E55FF"/>
    <w:rsid w:val="006F4CBC"/>
    <w:rsid w:val="006F4EB3"/>
    <w:rsid w:val="00705B07"/>
    <w:rsid w:val="007205EE"/>
    <w:rsid w:val="0072343F"/>
    <w:rsid w:val="00743C75"/>
    <w:rsid w:val="007548E3"/>
    <w:rsid w:val="00763FFC"/>
    <w:rsid w:val="00766CBD"/>
    <w:rsid w:val="007678FB"/>
    <w:rsid w:val="00772CA0"/>
    <w:rsid w:val="007750CE"/>
    <w:rsid w:val="00780605"/>
    <w:rsid w:val="007808D6"/>
    <w:rsid w:val="00790FDE"/>
    <w:rsid w:val="007B0253"/>
    <w:rsid w:val="007B4877"/>
    <w:rsid w:val="007C158C"/>
    <w:rsid w:val="007C6BF1"/>
    <w:rsid w:val="007E1180"/>
    <w:rsid w:val="007E3A81"/>
    <w:rsid w:val="007E3CA7"/>
    <w:rsid w:val="007E4998"/>
    <w:rsid w:val="0080571B"/>
    <w:rsid w:val="0081341B"/>
    <w:rsid w:val="008203C0"/>
    <w:rsid w:val="00831022"/>
    <w:rsid w:val="00840945"/>
    <w:rsid w:val="00844B1A"/>
    <w:rsid w:val="00851E3C"/>
    <w:rsid w:val="00863663"/>
    <w:rsid w:val="00865E22"/>
    <w:rsid w:val="00871560"/>
    <w:rsid w:val="008736BB"/>
    <w:rsid w:val="00874680"/>
    <w:rsid w:val="00897454"/>
    <w:rsid w:val="008A69E1"/>
    <w:rsid w:val="008B41A3"/>
    <w:rsid w:val="008C1038"/>
    <w:rsid w:val="008C662A"/>
    <w:rsid w:val="008D022D"/>
    <w:rsid w:val="008E5AC6"/>
    <w:rsid w:val="008E5BEC"/>
    <w:rsid w:val="008F10BB"/>
    <w:rsid w:val="008F4EA1"/>
    <w:rsid w:val="008F5FA0"/>
    <w:rsid w:val="00915D06"/>
    <w:rsid w:val="009243A7"/>
    <w:rsid w:val="00943B1B"/>
    <w:rsid w:val="00944695"/>
    <w:rsid w:val="009464CD"/>
    <w:rsid w:val="009479C7"/>
    <w:rsid w:val="00960D8D"/>
    <w:rsid w:val="009B59B3"/>
    <w:rsid w:val="009B6BF9"/>
    <w:rsid w:val="009D282E"/>
    <w:rsid w:val="009D67FF"/>
    <w:rsid w:val="00A0160D"/>
    <w:rsid w:val="00A01676"/>
    <w:rsid w:val="00A1217C"/>
    <w:rsid w:val="00A210E3"/>
    <w:rsid w:val="00A31BC1"/>
    <w:rsid w:val="00A443A9"/>
    <w:rsid w:val="00A454FE"/>
    <w:rsid w:val="00A5286D"/>
    <w:rsid w:val="00A9292C"/>
    <w:rsid w:val="00AA436B"/>
    <w:rsid w:val="00AA6CA1"/>
    <w:rsid w:val="00AC1E0A"/>
    <w:rsid w:val="00AC4B57"/>
    <w:rsid w:val="00AC4F85"/>
    <w:rsid w:val="00AF23B3"/>
    <w:rsid w:val="00AF71A0"/>
    <w:rsid w:val="00B02525"/>
    <w:rsid w:val="00B12761"/>
    <w:rsid w:val="00B1699E"/>
    <w:rsid w:val="00B31371"/>
    <w:rsid w:val="00B339E9"/>
    <w:rsid w:val="00B40644"/>
    <w:rsid w:val="00B47AD7"/>
    <w:rsid w:val="00B657B2"/>
    <w:rsid w:val="00B72A7A"/>
    <w:rsid w:val="00B83834"/>
    <w:rsid w:val="00B90B56"/>
    <w:rsid w:val="00B91E9C"/>
    <w:rsid w:val="00B94DE5"/>
    <w:rsid w:val="00BB0451"/>
    <w:rsid w:val="00BB4191"/>
    <w:rsid w:val="00BB46E4"/>
    <w:rsid w:val="00BB57FF"/>
    <w:rsid w:val="00BB6333"/>
    <w:rsid w:val="00BC3A22"/>
    <w:rsid w:val="00BD4C95"/>
    <w:rsid w:val="00BE5771"/>
    <w:rsid w:val="00BE5D16"/>
    <w:rsid w:val="00BF33BE"/>
    <w:rsid w:val="00BF7631"/>
    <w:rsid w:val="00C00E68"/>
    <w:rsid w:val="00C21819"/>
    <w:rsid w:val="00C23A98"/>
    <w:rsid w:val="00C3167B"/>
    <w:rsid w:val="00C3738E"/>
    <w:rsid w:val="00C414D7"/>
    <w:rsid w:val="00C41F6B"/>
    <w:rsid w:val="00C50CBC"/>
    <w:rsid w:val="00C525DC"/>
    <w:rsid w:val="00C61D6A"/>
    <w:rsid w:val="00C638E0"/>
    <w:rsid w:val="00C640EE"/>
    <w:rsid w:val="00C6649D"/>
    <w:rsid w:val="00C82735"/>
    <w:rsid w:val="00C840D0"/>
    <w:rsid w:val="00C900EA"/>
    <w:rsid w:val="00C95669"/>
    <w:rsid w:val="00CA688C"/>
    <w:rsid w:val="00CB683F"/>
    <w:rsid w:val="00CC607E"/>
    <w:rsid w:val="00CD0483"/>
    <w:rsid w:val="00CD2FBD"/>
    <w:rsid w:val="00CD7F7D"/>
    <w:rsid w:val="00D3634D"/>
    <w:rsid w:val="00D402E2"/>
    <w:rsid w:val="00D42388"/>
    <w:rsid w:val="00D442E2"/>
    <w:rsid w:val="00D65B7C"/>
    <w:rsid w:val="00D75AFB"/>
    <w:rsid w:val="00D80BD0"/>
    <w:rsid w:val="00D90E37"/>
    <w:rsid w:val="00D9670D"/>
    <w:rsid w:val="00DA2C1F"/>
    <w:rsid w:val="00DA447A"/>
    <w:rsid w:val="00DB1DB0"/>
    <w:rsid w:val="00DB51F1"/>
    <w:rsid w:val="00DB754C"/>
    <w:rsid w:val="00DC024A"/>
    <w:rsid w:val="00DD3170"/>
    <w:rsid w:val="00DE0F50"/>
    <w:rsid w:val="00DE318A"/>
    <w:rsid w:val="00DE46EF"/>
    <w:rsid w:val="00DF1AA4"/>
    <w:rsid w:val="00E04BFF"/>
    <w:rsid w:val="00E1612B"/>
    <w:rsid w:val="00E21D97"/>
    <w:rsid w:val="00E23A4D"/>
    <w:rsid w:val="00E30276"/>
    <w:rsid w:val="00E32583"/>
    <w:rsid w:val="00E66F8B"/>
    <w:rsid w:val="00E722F1"/>
    <w:rsid w:val="00E851FC"/>
    <w:rsid w:val="00E860A9"/>
    <w:rsid w:val="00E864A4"/>
    <w:rsid w:val="00EA28D1"/>
    <w:rsid w:val="00EB693D"/>
    <w:rsid w:val="00EB7BBC"/>
    <w:rsid w:val="00EC2ADC"/>
    <w:rsid w:val="00EC2C50"/>
    <w:rsid w:val="00ED54C2"/>
    <w:rsid w:val="00EF162A"/>
    <w:rsid w:val="00F03205"/>
    <w:rsid w:val="00F06394"/>
    <w:rsid w:val="00F1033F"/>
    <w:rsid w:val="00F24E6D"/>
    <w:rsid w:val="00F26F05"/>
    <w:rsid w:val="00F27BA5"/>
    <w:rsid w:val="00F33DBE"/>
    <w:rsid w:val="00F41A3E"/>
    <w:rsid w:val="00F44342"/>
    <w:rsid w:val="00F5523F"/>
    <w:rsid w:val="00F62C5F"/>
    <w:rsid w:val="00F6719B"/>
    <w:rsid w:val="00F745BC"/>
    <w:rsid w:val="00F74725"/>
    <w:rsid w:val="00F76C21"/>
    <w:rsid w:val="00F8768C"/>
    <w:rsid w:val="00F93A87"/>
    <w:rsid w:val="00F97213"/>
    <w:rsid w:val="00FC053D"/>
    <w:rsid w:val="00FC1A4F"/>
    <w:rsid w:val="00FC246A"/>
    <w:rsid w:val="00FD1375"/>
    <w:rsid w:val="00FD1A43"/>
    <w:rsid w:val="00FD2303"/>
    <w:rsid w:val="00FD3523"/>
    <w:rsid w:val="00FE7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6548E79"/>
  <w15:chartTrackingRefBased/>
  <w15:docId w15:val="{FBE46D8A-DD64-4A38-995E-4F77ADF4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97"/>
  </w:style>
  <w:style w:type="paragraph" w:styleId="Ttulo1">
    <w:name w:val="heading 1"/>
    <w:basedOn w:val="Normal"/>
    <w:link w:val="Ttulo1Car"/>
    <w:uiPriority w:val="9"/>
    <w:qFormat/>
    <w:rsid w:val="003163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163BB"/>
  </w:style>
  <w:style w:type="character" w:customStyle="1" w:styleId="Normal1">
    <w:name w:val="Normal1"/>
    <w:basedOn w:val="Fuentedeprrafopredeter"/>
    <w:rsid w:val="003163BB"/>
  </w:style>
  <w:style w:type="character" w:customStyle="1" w:styleId="Ttulo1Car">
    <w:name w:val="Título 1 Car"/>
    <w:basedOn w:val="Fuentedeprrafopredeter"/>
    <w:link w:val="Ttulo1"/>
    <w:uiPriority w:val="9"/>
    <w:rsid w:val="003163BB"/>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3163B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nhideWhenUsed/>
    <w:rsid w:val="003163BB"/>
    <w:pPr>
      <w:spacing w:after="0" w:line="240" w:lineRule="auto"/>
    </w:pPr>
    <w:rPr>
      <w:sz w:val="20"/>
      <w:szCs w:val="20"/>
    </w:rPr>
  </w:style>
  <w:style w:type="character" w:customStyle="1" w:styleId="TextonotapieCar">
    <w:name w:val="Texto nota pie Car"/>
    <w:basedOn w:val="Fuentedeprrafopredeter"/>
    <w:link w:val="Textonotapie"/>
    <w:rsid w:val="003163BB"/>
    <w:rPr>
      <w:sz w:val="20"/>
      <w:szCs w:val="20"/>
    </w:rPr>
  </w:style>
  <w:style w:type="character" w:styleId="Refdenotaalpie">
    <w:name w:val="footnote reference"/>
    <w:basedOn w:val="Fuentedeprrafopredeter"/>
    <w:unhideWhenUsed/>
    <w:rsid w:val="003163BB"/>
    <w:rPr>
      <w:vertAlign w:val="superscript"/>
    </w:rPr>
  </w:style>
  <w:style w:type="paragraph" w:styleId="Encabezado">
    <w:name w:val="header"/>
    <w:basedOn w:val="Normal"/>
    <w:link w:val="EncabezadoCar"/>
    <w:unhideWhenUsed/>
    <w:rsid w:val="008B41A3"/>
    <w:pPr>
      <w:tabs>
        <w:tab w:val="center" w:pos="4252"/>
        <w:tab w:val="right" w:pos="8504"/>
      </w:tabs>
      <w:spacing w:after="0" w:line="240" w:lineRule="auto"/>
    </w:pPr>
  </w:style>
  <w:style w:type="character" w:customStyle="1" w:styleId="EncabezadoCar">
    <w:name w:val="Encabezado Car"/>
    <w:basedOn w:val="Fuentedeprrafopredeter"/>
    <w:link w:val="Encabezado"/>
    <w:rsid w:val="008B41A3"/>
  </w:style>
  <w:style w:type="paragraph" w:styleId="Piedepgina">
    <w:name w:val="footer"/>
    <w:basedOn w:val="Normal"/>
    <w:link w:val="PiedepginaCar"/>
    <w:uiPriority w:val="99"/>
    <w:unhideWhenUsed/>
    <w:rsid w:val="008B4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41A3"/>
  </w:style>
  <w:style w:type="paragraph" w:styleId="Prrafodelista">
    <w:name w:val="List Paragraph"/>
    <w:basedOn w:val="Normal"/>
    <w:uiPriority w:val="34"/>
    <w:qFormat/>
    <w:rsid w:val="007205EE"/>
    <w:pPr>
      <w:ind w:left="720"/>
      <w:contextualSpacing/>
    </w:pPr>
  </w:style>
  <w:style w:type="character" w:styleId="Hipervnculo">
    <w:name w:val="Hyperlink"/>
    <w:basedOn w:val="Fuentedeprrafopredeter"/>
    <w:uiPriority w:val="99"/>
    <w:semiHidden/>
    <w:unhideWhenUsed/>
    <w:rsid w:val="003D0783"/>
    <w:rPr>
      <w:color w:val="0000FF"/>
      <w:u w:val="single"/>
    </w:rPr>
  </w:style>
  <w:style w:type="paragraph" w:styleId="Textodeglobo">
    <w:name w:val="Balloon Text"/>
    <w:basedOn w:val="Normal"/>
    <w:link w:val="TextodegloboCar"/>
    <w:uiPriority w:val="99"/>
    <w:semiHidden/>
    <w:unhideWhenUsed/>
    <w:rsid w:val="00C00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E68"/>
    <w:rPr>
      <w:rFonts w:ascii="Segoe UI" w:hAnsi="Segoe UI" w:cs="Segoe UI"/>
      <w:sz w:val="18"/>
      <w:szCs w:val="18"/>
    </w:rPr>
  </w:style>
  <w:style w:type="paragraph" w:styleId="Textoindependiente2">
    <w:name w:val="Body Text 2"/>
    <w:basedOn w:val="Normal"/>
    <w:link w:val="Textoindependiente2Car"/>
    <w:rsid w:val="003D3C7F"/>
    <w:pPr>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rsid w:val="003D3C7F"/>
    <w:rPr>
      <w:rFonts w:ascii="Arial" w:eastAsia="Times New Roman" w:hAnsi="Arial" w:cs="Arial"/>
      <w:sz w:val="24"/>
      <w:szCs w:val="24"/>
      <w:lang w:eastAsia="es-ES"/>
    </w:rPr>
  </w:style>
  <w:style w:type="character" w:customStyle="1" w:styleId="normal10">
    <w:name w:val="normal1"/>
    <w:basedOn w:val="Fuentedeprrafopredeter"/>
    <w:rsid w:val="00790FDE"/>
    <w:rPr>
      <w:sz w:val="20"/>
      <w:szCs w:val="20"/>
    </w:rPr>
  </w:style>
  <w:style w:type="table" w:styleId="Tablaconcuadrcula">
    <w:name w:val="Table Grid"/>
    <w:basedOn w:val="Tablanormal"/>
    <w:uiPriority w:val="39"/>
    <w:rsid w:val="00566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72343F"/>
    <w:rPr>
      <w:i/>
      <w:iCs/>
    </w:rPr>
  </w:style>
  <w:style w:type="character" w:styleId="Textoennegrita">
    <w:name w:val="Strong"/>
    <w:basedOn w:val="Fuentedeprrafopredeter"/>
    <w:uiPriority w:val="22"/>
    <w:qFormat/>
    <w:rsid w:val="0058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585">
      <w:bodyDiv w:val="1"/>
      <w:marLeft w:val="0"/>
      <w:marRight w:val="0"/>
      <w:marTop w:val="0"/>
      <w:marBottom w:val="0"/>
      <w:divBdr>
        <w:top w:val="none" w:sz="0" w:space="0" w:color="auto"/>
        <w:left w:val="none" w:sz="0" w:space="0" w:color="auto"/>
        <w:bottom w:val="none" w:sz="0" w:space="0" w:color="auto"/>
        <w:right w:val="none" w:sz="0" w:space="0" w:color="auto"/>
      </w:divBdr>
    </w:div>
    <w:div w:id="4746997">
      <w:bodyDiv w:val="1"/>
      <w:marLeft w:val="0"/>
      <w:marRight w:val="0"/>
      <w:marTop w:val="0"/>
      <w:marBottom w:val="0"/>
      <w:divBdr>
        <w:top w:val="none" w:sz="0" w:space="0" w:color="auto"/>
        <w:left w:val="none" w:sz="0" w:space="0" w:color="auto"/>
        <w:bottom w:val="none" w:sz="0" w:space="0" w:color="auto"/>
        <w:right w:val="none" w:sz="0" w:space="0" w:color="auto"/>
      </w:divBdr>
    </w:div>
    <w:div w:id="10373508">
      <w:bodyDiv w:val="1"/>
      <w:marLeft w:val="0"/>
      <w:marRight w:val="0"/>
      <w:marTop w:val="0"/>
      <w:marBottom w:val="0"/>
      <w:divBdr>
        <w:top w:val="none" w:sz="0" w:space="0" w:color="auto"/>
        <w:left w:val="none" w:sz="0" w:space="0" w:color="auto"/>
        <w:bottom w:val="none" w:sz="0" w:space="0" w:color="auto"/>
        <w:right w:val="none" w:sz="0" w:space="0" w:color="auto"/>
      </w:divBdr>
    </w:div>
    <w:div w:id="213348208">
      <w:bodyDiv w:val="1"/>
      <w:marLeft w:val="0"/>
      <w:marRight w:val="0"/>
      <w:marTop w:val="0"/>
      <w:marBottom w:val="0"/>
      <w:divBdr>
        <w:top w:val="none" w:sz="0" w:space="0" w:color="auto"/>
        <w:left w:val="none" w:sz="0" w:space="0" w:color="auto"/>
        <w:bottom w:val="none" w:sz="0" w:space="0" w:color="auto"/>
        <w:right w:val="none" w:sz="0" w:space="0" w:color="auto"/>
      </w:divBdr>
    </w:div>
    <w:div w:id="260183515">
      <w:bodyDiv w:val="1"/>
      <w:marLeft w:val="0"/>
      <w:marRight w:val="0"/>
      <w:marTop w:val="0"/>
      <w:marBottom w:val="0"/>
      <w:divBdr>
        <w:top w:val="none" w:sz="0" w:space="0" w:color="auto"/>
        <w:left w:val="none" w:sz="0" w:space="0" w:color="auto"/>
        <w:bottom w:val="none" w:sz="0" w:space="0" w:color="auto"/>
        <w:right w:val="none" w:sz="0" w:space="0" w:color="auto"/>
      </w:divBdr>
    </w:div>
    <w:div w:id="260987850">
      <w:bodyDiv w:val="1"/>
      <w:marLeft w:val="0"/>
      <w:marRight w:val="0"/>
      <w:marTop w:val="0"/>
      <w:marBottom w:val="0"/>
      <w:divBdr>
        <w:top w:val="none" w:sz="0" w:space="0" w:color="auto"/>
        <w:left w:val="none" w:sz="0" w:space="0" w:color="auto"/>
        <w:bottom w:val="none" w:sz="0" w:space="0" w:color="auto"/>
        <w:right w:val="none" w:sz="0" w:space="0" w:color="auto"/>
      </w:divBdr>
    </w:div>
    <w:div w:id="268124466">
      <w:bodyDiv w:val="1"/>
      <w:marLeft w:val="0"/>
      <w:marRight w:val="0"/>
      <w:marTop w:val="0"/>
      <w:marBottom w:val="0"/>
      <w:divBdr>
        <w:top w:val="none" w:sz="0" w:space="0" w:color="auto"/>
        <w:left w:val="none" w:sz="0" w:space="0" w:color="auto"/>
        <w:bottom w:val="none" w:sz="0" w:space="0" w:color="auto"/>
        <w:right w:val="none" w:sz="0" w:space="0" w:color="auto"/>
      </w:divBdr>
    </w:div>
    <w:div w:id="278605699">
      <w:bodyDiv w:val="1"/>
      <w:marLeft w:val="0"/>
      <w:marRight w:val="0"/>
      <w:marTop w:val="0"/>
      <w:marBottom w:val="0"/>
      <w:divBdr>
        <w:top w:val="none" w:sz="0" w:space="0" w:color="auto"/>
        <w:left w:val="none" w:sz="0" w:space="0" w:color="auto"/>
        <w:bottom w:val="none" w:sz="0" w:space="0" w:color="auto"/>
        <w:right w:val="none" w:sz="0" w:space="0" w:color="auto"/>
      </w:divBdr>
    </w:div>
    <w:div w:id="331446951">
      <w:bodyDiv w:val="1"/>
      <w:marLeft w:val="0"/>
      <w:marRight w:val="0"/>
      <w:marTop w:val="0"/>
      <w:marBottom w:val="0"/>
      <w:divBdr>
        <w:top w:val="none" w:sz="0" w:space="0" w:color="auto"/>
        <w:left w:val="none" w:sz="0" w:space="0" w:color="auto"/>
        <w:bottom w:val="none" w:sz="0" w:space="0" w:color="auto"/>
        <w:right w:val="none" w:sz="0" w:space="0" w:color="auto"/>
      </w:divBdr>
    </w:div>
    <w:div w:id="380599974">
      <w:bodyDiv w:val="1"/>
      <w:marLeft w:val="0"/>
      <w:marRight w:val="0"/>
      <w:marTop w:val="0"/>
      <w:marBottom w:val="0"/>
      <w:divBdr>
        <w:top w:val="none" w:sz="0" w:space="0" w:color="auto"/>
        <w:left w:val="none" w:sz="0" w:space="0" w:color="auto"/>
        <w:bottom w:val="none" w:sz="0" w:space="0" w:color="auto"/>
        <w:right w:val="none" w:sz="0" w:space="0" w:color="auto"/>
      </w:divBdr>
    </w:div>
    <w:div w:id="432359037">
      <w:bodyDiv w:val="1"/>
      <w:marLeft w:val="0"/>
      <w:marRight w:val="0"/>
      <w:marTop w:val="0"/>
      <w:marBottom w:val="0"/>
      <w:divBdr>
        <w:top w:val="none" w:sz="0" w:space="0" w:color="auto"/>
        <w:left w:val="none" w:sz="0" w:space="0" w:color="auto"/>
        <w:bottom w:val="none" w:sz="0" w:space="0" w:color="auto"/>
        <w:right w:val="none" w:sz="0" w:space="0" w:color="auto"/>
      </w:divBdr>
    </w:div>
    <w:div w:id="438448356">
      <w:bodyDiv w:val="1"/>
      <w:marLeft w:val="0"/>
      <w:marRight w:val="0"/>
      <w:marTop w:val="0"/>
      <w:marBottom w:val="0"/>
      <w:divBdr>
        <w:top w:val="none" w:sz="0" w:space="0" w:color="auto"/>
        <w:left w:val="none" w:sz="0" w:space="0" w:color="auto"/>
        <w:bottom w:val="none" w:sz="0" w:space="0" w:color="auto"/>
        <w:right w:val="none" w:sz="0" w:space="0" w:color="auto"/>
      </w:divBdr>
    </w:div>
    <w:div w:id="482821122">
      <w:bodyDiv w:val="1"/>
      <w:marLeft w:val="0"/>
      <w:marRight w:val="0"/>
      <w:marTop w:val="0"/>
      <w:marBottom w:val="0"/>
      <w:divBdr>
        <w:top w:val="none" w:sz="0" w:space="0" w:color="auto"/>
        <w:left w:val="none" w:sz="0" w:space="0" w:color="auto"/>
        <w:bottom w:val="none" w:sz="0" w:space="0" w:color="auto"/>
        <w:right w:val="none" w:sz="0" w:space="0" w:color="auto"/>
      </w:divBdr>
    </w:div>
    <w:div w:id="561403727">
      <w:bodyDiv w:val="1"/>
      <w:marLeft w:val="0"/>
      <w:marRight w:val="0"/>
      <w:marTop w:val="0"/>
      <w:marBottom w:val="0"/>
      <w:divBdr>
        <w:top w:val="none" w:sz="0" w:space="0" w:color="auto"/>
        <w:left w:val="none" w:sz="0" w:space="0" w:color="auto"/>
        <w:bottom w:val="none" w:sz="0" w:space="0" w:color="auto"/>
        <w:right w:val="none" w:sz="0" w:space="0" w:color="auto"/>
      </w:divBdr>
    </w:div>
    <w:div w:id="602613321">
      <w:bodyDiv w:val="1"/>
      <w:marLeft w:val="0"/>
      <w:marRight w:val="0"/>
      <w:marTop w:val="0"/>
      <w:marBottom w:val="0"/>
      <w:divBdr>
        <w:top w:val="none" w:sz="0" w:space="0" w:color="auto"/>
        <w:left w:val="none" w:sz="0" w:space="0" w:color="auto"/>
        <w:bottom w:val="none" w:sz="0" w:space="0" w:color="auto"/>
        <w:right w:val="none" w:sz="0" w:space="0" w:color="auto"/>
      </w:divBdr>
    </w:div>
    <w:div w:id="661466828">
      <w:bodyDiv w:val="1"/>
      <w:marLeft w:val="0"/>
      <w:marRight w:val="0"/>
      <w:marTop w:val="0"/>
      <w:marBottom w:val="0"/>
      <w:divBdr>
        <w:top w:val="none" w:sz="0" w:space="0" w:color="auto"/>
        <w:left w:val="none" w:sz="0" w:space="0" w:color="auto"/>
        <w:bottom w:val="none" w:sz="0" w:space="0" w:color="auto"/>
        <w:right w:val="none" w:sz="0" w:space="0" w:color="auto"/>
      </w:divBdr>
    </w:div>
    <w:div w:id="665785468">
      <w:bodyDiv w:val="1"/>
      <w:marLeft w:val="0"/>
      <w:marRight w:val="0"/>
      <w:marTop w:val="0"/>
      <w:marBottom w:val="0"/>
      <w:divBdr>
        <w:top w:val="none" w:sz="0" w:space="0" w:color="auto"/>
        <w:left w:val="none" w:sz="0" w:space="0" w:color="auto"/>
        <w:bottom w:val="none" w:sz="0" w:space="0" w:color="auto"/>
        <w:right w:val="none" w:sz="0" w:space="0" w:color="auto"/>
      </w:divBdr>
    </w:div>
    <w:div w:id="712927027">
      <w:bodyDiv w:val="1"/>
      <w:marLeft w:val="0"/>
      <w:marRight w:val="0"/>
      <w:marTop w:val="0"/>
      <w:marBottom w:val="0"/>
      <w:divBdr>
        <w:top w:val="none" w:sz="0" w:space="0" w:color="auto"/>
        <w:left w:val="none" w:sz="0" w:space="0" w:color="auto"/>
        <w:bottom w:val="none" w:sz="0" w:space="0" w:color="auto"/>
        <w:right w:val="none" w:sz="0" w:space="0" w:color="auto"/>
      </w:divBdr>
    </w:div>
    <w:div w:id="719089891">
      <w:bodyDiv w:val="1"/>
      <w:marLeft w:val="0"/>
      <w:marRight w:val="0"/>
      <w:marTop w:val="0"/>
      <w:marBottom w:val="0"/>
      <w:divBdr>
        <w:top w:val="none" w:sz="0" w:space="0" w:color="auto"/>
        <w:left w:val="none" w:sz="0" w:space="0" w:color="auto"/>
        <w:bottom w:val="none" w:sz="0" w:space="0" w:color="auto"/>
        <w:right w:val="none" w:sz="0" w:space="0" w:color="auto"/>
      </w:divBdr>
    </w:div>
    <w:div w:id="727805733">
      <w:bodyDiv w:val="1"/>
      <w:marLeft w:val="0"/>
      <w:marRight w:val="0"/>
      <w:marTop w:val="0"/>
      <w:marBottom w:val="0"/>
      <w:divBdr>
        <w:top w:val="none" w:sz="0" w:space="0" w:color="auto"/>
        <w:left w:val="none" w:sz="0" w:space="0" w:color="auto"/>
        <w:bottom w:val="none" w:sz="0" w:space="0" w:color="auto"/>
        <w:right w:val="none" w:sz="0" w:space="0" w:color="auto"/>
      </w:divBdr>
    </w:div>
    <w:div w:id="744765488">
      <w:bodyDiv w:val="1"/>
      <w:marLeft w:val="0"/>
      <w:marRight w:val="0"/>
      <w:marTop w:val="0"/>
      <w:marBottom w:val="0"/>
      <w:divBdr>
        <w:top w:val="none" w:sz="0" w:space="0" w:color="auto"/>
        <w:left w:val="none" w:sz="0" w:space="0" w:color="auto"/>
        <w:bottom w:val="none" w:sz="0" w:space="0" w:color="auto"/>
        <w:right w:val="none" w:sz="0" w:space="0" w:color="auto"/>
      </w:divBdr>
    </w:div>
    <w:div w:id="770780756">
      <w:bodyDiv w:val="1"/>
      <w:marLeft w:val="0"/>
      <w:marRight w:val="0"/>
      <w:marTop w:val="0"/>
      <w:marBottom w:val="0"/>
      <w:divBdr>
        <w:top w:val="none" w:sz="0" w:space="0" w:color="auto"/>
        <w:left w:val="none" w:sz="0" w:space="0" w:color="auto"/>
        <w:bottom w:val="none" w:sz="0" w:space="0" w:color="auto"/>
        <w:right w:val="none" w:sz="0" w:space="0" w:color="auto"/>
      </w:divBdr>
    </w:div>
    <w:div w:id="811944279">
      <w:bodyDiv w:val="1"/>
      <w:marLeft w:val="0"/>
      <w:marRight w:val="0"/>
      <w:marTop w:val="0"/>
      <w:marBottom w:val="0"/>
      <w:divBdr>
        <w:top w:val="none" w:sz="0" w:space="0" w:color="auto"/>
        <w:left w:val="none" w:sz="0" w:space="0" w:color="auto"/>
        <w:bottom w:val="none" w:sz="0" w:space="0" w:color="auto"/>
        <w:right w:val="none" w:sz="0" w:space="0" w:color="auto"/>
      </w:divBdr>
    </w:div>
    <w:div w:id="814683492">
      <w:bodyDiv w:val="1"/>
      <w:marLeft w:val="0"/>
      <w:marRight w:val="0"/>
      <w:marTop w:val="0"/>
      <w:marBottom w:val="0"/>
      <w:divBdr>
        <w:top w:val="none" w:sz="0" w:space="0" w:color="auto"/>
        <w:left w:val="none" w:sz="0" w:space="0" w:color="auto"/>
        <w:bottom w:val="none" w:sz="0" w:space="0" w:color="auto"/>
        <w:right w:val="none" w:sz="0" w:space="0" w:color="auto"/>
      </w:divBdr>
    </w:div>
    <w:div w:id="872765238">
      <w:bodyDiv w:val="1"/>
      <w:marLeft w:val="0"/>
      <w:marRight w:val="0"/>
      <w:marTop w:val="0"/>
      <w:marBottom w:val="0"/>
      <w:divBdr>
        <w:top w:val="none" w:sz="0" w:space="0" w:color="auto"/>
        <w:left w:val="none" w:sz="0" w:space="0" w:color="auto"/>
        <w:bottom w:val="none" w:sz="0" w:space="0" w:color="auto"/>
        <w:right w:val="none" w:sz="0" w:space="0" w:color="auto"/>
      </w:divBdr>
    </w:div>
    <w:div w:id="942031459">
      <w:bodyDiv w:val="1"/>
      <w:marLeft w:val="0"/>
      <w:marRight w:val="0"/>
      <w:marTop w:val="0"/>
      <w:marBottom w:val="0"/>
      <w:divBdr>
        <w:top w:val="none" w:sz="0" w:space="0" w:color="auto"/>
        <w:left w:val="none" w:sz="0" w:space="0" w:color="auto"/>
        <w:bottom w:val="none" w:sz="0" w:space="0" w:color="auto"/>
        <w:right w:val="none" w:sz="0" w:space="0" w:color="auto"/>
      </w:divBdr>
    </w:div>
    <w:div w:id="982734486">
      <w:bodyDiv w:val="1"/>
      <w:marLeft w:val="0"/>
      <w:marRight w:val="0"/>
      <w:marTop w:val="0"/>
      <w:marBottom w:val="0"/>
      <w:divBdr>
        <w:top w:val="none" w:sz="0" w:space="0" w:color="auto"/>
        <w:left w:val="none" w:sz="0" w:space="0" w:color="auto"/>
        <w:bottom w:val="none" w:sz="0" w:space="0" w:color="auto"/>
        <w:right w:val="none" w:sz="0" w:space="0" w:color="auto"/>
      </w:divBdr>
    </w:div>
    <w:div w:id="1011419178">
      <w:bodyDiv w:val="1"/>
      <w:marLeft w:val="0"/>
      <w:marRight w:val="0"/>
      <w:marTop w:val="0"/>
      <w:marBottom w:val="0"/>
      <w:divBdr>
        <w:top w:val="none" w:sz="0" w:space="0" w:color="auto"/>
        <w:left w:val="none" w:sz="0" w:space="0" w:color="auto"/>
        <w:bottom w:val="none" w:sz="0" w:space="0" w:color="auto"/>
        <w:right w:val="none" w:sz="0" w:space="0" w:color="auto"/>
      </w:divBdr>
    </w:div>
    <w:div w:id="1093211031">
      <w:bodyDiv w:val="1"/>
      <w:marLeft w:val="0"/>
      <w:marRight w:val="0"/>
      <w:marTop w:val="0"/>
      <w:marBottom w:val="0"/>
      <w:divBdr>
        <w:top w:val="none" w:sz="0" w:space="0" w:color="auto"/>
        <w:left w:val="none" w:sz="0" w:space="0" w:color="auto"/>
        <w:bottom w:val="none" w:sz="0" w:space="0" w:color="auto"/>
        <w:right w:val="none" w:sz="0" w:space="0" w:color="auto"/>
      </w:divBdr>
    </w:div>
    <w:div w:id="1200898674">
      <w:bodyDiv w:val="1"/>
      <w:marLeft w:val="0"/>
      <w:marRight w:val="0"/>
      <w:marTop w:val="0"/>
      <w:marBottom w:val="0"/>
      <w:divBdr>
        <w:top w:val="none" w:sz="0" w:space="0" w:color="auto"/>
        <w:left w:val="none" w:sz="0" w:space="0" w:color="auto"/>
        <w:bottom w:val="none" w:sz="0" w:space="0" w:color="auto"/>
        <w:right w:val="none" w:sz="0" w:space="0" w:color="auto"/>
      </w:divBdr>
    </w:div>
    <w:div w:id="1207646987">
      <w:bodyDiv w:val="1"/>
      <w:marLeft w:val="0"/>
      <w:marRight w:val="0"/>
      <w:marTop w:val="0"/>
      <w:marBottom w:val="0"/>
      <w:divBdr>
        <w:top w:val="none" w:sz="0" w:space="0" w:color="auto"/>
        <w:left w:val="none" w:sz="0" w:space="0" w:color="auto"/>
        <w:bottom w:val="none" w:sz="0" w:space="0" w:color="auto"/>
        <w:right w:val="none" w:sz="0" w:space="0" w:color="auto"/>
      </w:divBdr>
    </w:div>
    <w:div w:id="1332296499">
      <w:bodyDiv w:val="1"/>
      <w:marLeft w:val="0"/>
      <w:marRight w:val="0"/>
      <w:marTop w:val="0"/>
      <w:marBottom w:val="0"/>
      <w:divBdr>
        <w:top w:val="none" w:sz="0" w:space="0" w:color="auto"/>
        <w:left w:val="none" w:sz="0" w:space="0" w:color="auto"/>
        <w:bottom w:val="none" w:sz="0" w:space="0" w:color="auto"/>
        <w:right w:val="none" w:sz="0" w:space="0" w:color="auto"/>
      </w:divBdr>
    </w:div>
    <w:div w:id="1409498551">
      <w:bodyDiv w:val="1"/>
      <w:marLeft w:val="0"/>
      <w:marRight w:val="0"/>
      <w:marTop w:val="0"/>
      <w:marBottom w:val="0"/>
      <w:divBdr>
        <w:top w:val="none" w:sz="0" w:space="0" w:color="auto"/>
        <w:left w:val="none" w:sz="0" w:space="0" w:color="auto"/>
        <w:bottom w:val="none" w:sz="0" w:space="0" w:color="auto"/>
        <w:right w:val="none" w:sz="0" w:space="0" w:color="auto"/>
      </w:divBdr>
    </w:div>
    <w:div w:id="1412658197">
      <w:bodyDiv w:val="1"/>
      <w:marLeft w:val="0"/>
      <w:marRight w:val="0"/>
      <w:marTop w:val="0"/>
      <w:marBottom w:val="0"/>
      <w:divBdr>
        <w:top w:val="none" w:sz="0" w:space="0" w:color="auto"/>
        <w:left w:val="none" w:sz="0" w:space="0" w:color="auto"/>
        <w:bottom w:val="none" w:sz="0" w:space="0" w:color="auto"/>
        <w:right w:val="none" w:sz="0" w:space="0" w:color="auto"/>
      </w:divBdr>
    </w:div>
    <w:div w:id="1414549051">
      <w:bodyDiv w:val="1"/>
      <w:marLeft w:val="0"/>
      <w:marRight w:val="0"/>
      <w:marTop w:val="0"/>
      <w:marBottom w:val="0"/>
      <w:divBdr>
        <w:top w:val="none" w:sz="0" w:space="0" w:color="auto"/>
        <w:left w:val="none" w:sz="0" w:space="0" w:color="auto"/>
        <w:bottom w:val="none" w:sz="0" w:space="0" w:color="auto"/>
        <w:right w:val="none" w:sz="0" w:space="0" w:color="auto"/>
      </w:divBdr>
    </w:div>
    <w:div w:id="1417937405">
      <w:bodyDiv w:val="1"/>
      <w:marLeft w:val="0"/>
      <w:marRight w:val="0"/>
      <w:marTop w:val="0"/>
      <w:marBottom w:val="0"/>
      <w:divBdr>
        <w:top w:val="none" w:sz="0" w:space="0" w:color="auto"/>
        <w:left w:val="none" w:sz="0" w:space="0" w:color="auto"/>
        <w:bottom w:val="none" w:sz="0" w:space="0" w:color="auto"/>
        <w:right w:val="none" w:sz="0" w:space="0" w:color="auto"/>
      </w:divBdr>
    </w:div>
    <w:div w:id="1447963200">
      <w:bodyDiv w:val="1"/>
      <w:marLeft w:val="0"/>
      <w:marRight w:val="0"/>
      <w:marTop w:val="0"/>
      <w:marBottom w:val="0"/>
      <w:divBdr>
        <w:top w:val="none" w:sz="0" w:space="0" w:color="auto"/>
        <w:left w:val="none" w:sz="0" w:space="0" w:color="auto"/>
        <w:bottom w:val="none" w:sz="0" w:space="0" w:color="auto"/>
        <w:right w:val="none" w:sz="0" w:space="0" w:color="auto"/>
      </w:divBdr>
    </w:div>
    <w:div w:id="1452481021">
      <w:bodyDiv w:val="1"/>
      <w:marLeft w:val="0"/>
      <w:marRight w:val="0"/>
      <w:marTop w:val="0"/>
      <w:marBottom w:val="0"/>
      <w:divBdr>
        <w:top w:val="none" w:sz="0" w:space="0" w:color="auto"/>
        <w:left w:val="none" w:sz="0" w:space="0" w:color="auto"/>
        <w:bottom w:val="none" w:sz="0" w:space="0" w:color="auto"/>
        <w:right w:val="none" w:sz="0" w:space="0" w:color="auto"/>
      </w:divBdr>
    </w:div>
    <w:div w:id="1557351347">
      <w:bodyDiv w:val="1"/>
      <w:marLeft w:val="0"/>
      <w:marRight w:val="0"/>
      <w:marTop w:val="0"/>
      <w:marBottom w:val="0"/>
      <w:divBdr>
        <w:top w:val="none" w:sz="0" w:space="0" w:color="auto"/>
        <w:left w:val="none" w:sz="0" w:space="0" w:color="auto"/>
        <w:bottom w:val="none" w:sz="0" w:space="0" w:color="auto"/>
        <w:right w:val="none" w:sz="0" w:space="0" w:color="auto"/>
      </w:divBdr>
    </w:div>
    <w:div w:id="1645037532">
      <w:bodyDiv w:val="1"/>
      <w:marLeft w:val="0"/>
      <w:marRight w:val="0"/>
      <w:marTop w:val="0"/>
      <w:marBottom w:val="0"/>
      <w:divBdr>
        <w:top w:val="none" w:sz="0" w:space="0" w:color="auto"/>
        <w:left w:val="none" w:sz="0" w:space="0" w:color="auto"/>
        <w:bottom w:val="none" w:sz="0" w:space="0" w:color="auto"/>
        <w:right w:val="none" w:sz="0" w:space="0" w:color="auto"/>
      </w:divBdr>
      <w:divsChild>
        <w:div w:id="23403347">
          <w:marLeft w:val="330"/>
          <w:marRight w:val="0"/>
          <w:marTop w:val="0"/>
          <w:marBottom w:val="0"/>
          <w:divBdr>
            <w:top w:val="none" w:sz="0" w:space="0" w:color="auto"/>
            <w:left w:val="none" w:sz="0" w:space="0" w:color="auto"/>
            <w:bottom w:val="none" w:sz="0" w:space="0" w:color="auto"/>
            <w:right w:val="none" w:sz="0" w:space="0" w:color="auto"/>
          </w:divBdr>
          <w:divsChild>
            <w:div w:id="7383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2464">
      <w:bodyDiv w:val="1"/>
      <w:marLeft w:val="0"/>
      <w:marRight w:val="0"/>
      <w:marTop w:val="0"/>
      <w:marBottom w:val="0"/>
      <w:divBdr>
        <w:top w:val="none" w:sz="0" w:space="0" w:color="auto"/>
        <w:left w:val="none" w:sz="0" w:space="0" w:color="auto"/>
        <w:bottom w:val="none" w:sz="0" w:space="0" w:color="auto"/>
        <w:right w:val="none" w:sz="0" w:space="0" w:color="auto"/>
      </w:divBdr>
    </w:div>
    <w:div w:id="1743795507">
      <w:bodyDiv w:val="1"/>
      <w:marLeft w:val="0"/>
      <w:marRight w:val="0"/>
      <w:marTop w:val="0"/>
      <w:marBottom w:val="0"/>
      <w:divBdr>
        <w:top w:val="none" w:sz="0" w:space="0" w:color="auto"/>
        <w:left w:val="none" w:sz="0" w:space="0" w:color="auto"/>
        <w:bottom w:val="none" w:sz="0" w:space="0" w:color="auto"/>
        <w:right w:val="none" w:sz="0" w:space="0" w:color="auto"/>
      </w:divBdr>
    </w:div>
    <w:div w:id="1745911649">
      <w:bodyDiv w:val="1"/>
      <w:marLeft w:val="0"/>
      <w:marRight w:val="0"/>
      <w:marTop w:val="0"/>
      <w:marBottom w:val="0"/>
      <w:divBdr>
        <w:top w:val="none" w:sz="0" w:space="0" w:color="auto"/>
        <w:left w:val="none" w:sz="0" w:space="0" w:color="auto"/>
        <w:bottom w:val="none" w:sz="0" w:space="0" w:color="auto"/>
        <w:right w:val="none" w:sz="0" w:space="0" w:color="auto"/>
      </w:divBdr>
    </w:div>
    <w:div w:id="1921673909">
      <w:bodyDiv w:val="1"/>
      <w:marLeft w:val="0"/>
      <w:marRight w:val="0"/>
      <w:marTop w:val="0"/>
      <w:marBottom w:val="0"/>
      <w:divBdr>
        <w:top w:val="none" w:sz="0" w:space="0" w:color="auto"/>
        <w:left w:val="none" w:sz="0" w:space="0" w:color="auto"/>
        <w:bottom w:val="none" w:sz="0" w:space="0" w:color="auto"/>
        <w:right w:val="none" w:sz="0" w:space="0" w:color="auto"/>
      </w:divBdr>
    </w:div>
    <w:div w:id="1974095558">
      <w:bodyDiv w:val="1"/>
      <w:marLeft w:val="0"/>
      <w:marRight w:val="0"/>
      <w:marTop w:val="0"/>
      <w:marBottom w:val="0"/>
      <w:divBdr>
        <w:top w:val="none" w:sz="0" w:space="0" w:color="auto"/>
        <w:left w:val="none" w:sz="0" w:space="0" w:color="auto"/>
        <w:bottom w:val="none" w:sz="0" w:space="0" w:color="auto"/>
        <w:right w:val="none" w:sz="0" w:space="0" w:color="auto"/>
      </w:divBdr>
    </w:div>
    <w:div w:id="2027057546">
      <w:bodyDiv w:val="1"/>
      <w:marLeft w:val="0"/>
      <w:marRight w:val="0"/>
      <w:marTop w:val="0"/>
      <w:marBottom w:val="0"/>
      <w:divBdr>
        <w:top w:val="none" w:sz="0" w:space="0" w:color="auto"/>
        <w:left w:val="none" w:sz="0" w:space="0" w:color="auto"/>
        <w:bottom w:val="none" w:sz="0" w:space="0" w:color="auto"/>
        <w:right w:val="none" w:sz="0" w:space="0" w:color="auto"/>
      </w:divBdr>
    </w:div>
    <w:div w:id="2079941030">
      <w:bodyDiv w:val="1"/>
      <w:marLeft w:val="0"/>
      <w:marRight w:val="0"/>
      <w:marTop w:val="0"/>
      <w:marBottom w:val="0"/>
      <w:divBdr>
        <w:top w:val="none" w:sz="0" w:space="0" w:color="auto"/>
        <w:left w:val="none" w:sz="0" w:space="0" w:color="auto"/>
        <w:bottom w:val="none" w:sz="0" w:space="0" w:color="auto"/>
        <w:right w:val="none" w:sz="0" w:space="0" w:color="auto"/>
      </w:divBdr>
    </w:div>
    <w:div w:id="20939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s-ES" b="1">
                <a:solidFill>
                  <a:schemeClr val="accent5">
                    <a:lumMod val="75000"/>
                  </a:schemeClr>
                </a:solidFill>
              </a:rPr>
              <a:t>CONTINGENCIAS PROFESIONALES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ES"/>
        </a:p>
      </c:txPr>
    </c:title>
    <c:autoTitleDeleted val="0"/>
    <c:plotArea>
      <c:layout>
        <c:manualLayout>
          <c:layoutTarget val="inner"/>
          <c:xMode val="edge"/>
          <c:yMode val="edge"/>
          <c:x val="5.738901934059748E-2"/>
          <c:y val="0.14692618169755589"/>
          <c:w val="0.8826119806519952"/>
          <c:h val="0.69231946188141524"/>
        </c:manualLayout>
      </c:layout>
      <c:lineChart>
        <c:grouping val="standard"/>
        <c:varyColors val="0"/>
        <c:ser>
          <c:idx val="0"/>
          <c:order val="0"/>
          <c:tx>
            <c:strRef>
              <c:f>Hoja1!$B$1</c:f>
              <c:strCache>
                <c:ptCount val="1"/>
                <c:pt idx="0">
                  <c:v>Empresas</c:v>
                </c:pt>
              </c:strCache>
            </c:strRef>
          </c:tx>
          <c:spPr>
            <a:ln w="22225" cap="rnd" cmpd="sng" algn="ctr">
              <a:solidFill>
                <a:schemeClr val="accent5">
                  <a:shade val="65000"/>
                </a:schemeClr>
              </a:solidFill>
              <a:round/>
            </a:ln>
            <a:effectLst/>
          </c:spPr>
          <c:marker>
            <c:symbol val="none"/>
          </c:marker>
          <c:dLbls>
            <c:dLbl>
              <c:idx val="10"/>
              <c:layout>
                <c:manualLayout>
                  <c:x val="-1.7631350878882378E-3"/>
                  <c:y val="-3.8008086826984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85-48E5-9478-DD8C4A00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Hoja1!$A$2:$A$12</c:f>
              <c:strCache>
                <c:ptCount val="11"/>
                <c:pt idx="0">
                  <c:v>2013</c:v>
                </c:pt>
                <c:pt idx="1">
                  <c:v>2014</c:v>
                </c:pt>
                <c:pt idx="2">
                  <c:v>2015</c:v>
                </c:pt>
                <c:pt idx="3">
                  <c:v>2016</c:v>
                </c:pt>
                <c:pt idx="4">
                  <c:v>2017</c:v>
                </c:pt>
                <c:pt idx="5">
                  <c:v>2018</c:v>
                </c:pt>
                <c:pt idx="6">
                  <c:v>2019</c:v>
                </c:pt>
                <c:pt idx="7">
                  <c:v>2020</c:v>
                </c:pt>
                <c:pt idx="8">
                  <c:v>2021</c:v>
                </c:pt>
                <c:pt idx="9">
                  <c:v>2022</c:v>
                </c:pt>
                <c:pt idx="10">
                  <c:v>1S 2023</c:v>
                </c:pt>
              </c:strCache>
            </c:strRef>
          </c:cat>
          <c:val>
            <c:numRef>
              <c:f>Hoja1!$B$2:$B$12</c:f>
              <c:numCache>
                <c:formatCode>0.00%</c:formatCode>
                <c:ptCount val="11"/>
                <c:pt idx="0">
                  <c:v>0.98132144757159356</c:v>
                </c:pt>
                <c:pt idx="1">
                  <c:v>0.98266723380919396</c:v>
                </c:pt>
                <c:pt idx="2">
                  <c:v>0.98365289808479806</c:v>
                </c:pt>
                <c:pt idx="3">
                  <c:v>0.98420902184474091</c:v>
                </c:pt>
                <c:pt idx="4">
                  <c:v>0.98463717511973092</c:v>
                </c:pt>
                <c:pt idx="5">
                  <c:v>0.98519999999999996</c:v>
                </c:pt>
                <c:pt idx="6">
                  <c:v>0.9859</c:v>
                </c:pt>
                <c:pt idx="7">
                  <c:v>0.9859</c:v>
                </c:pt>
                <c:pt idx="8">
                  <c:v>0.98670000000000002</c:v>
                </c:pt>
                <c:pt idx="9">
                  <c:v>0.98770000000000002</c:v>
                </c:pt>
                <c:pt idx="10">
                  <c:v>0.98829999999999996</c:v>
                </c:pt>
              </c:numCache>
            </c:numRef>
          </c:val>
          <c:smooth val="1"/>
          <c:extLst>
            <c:ext xmlns:c16="http://schemas.microsoft.com/office/drawing/2014/chart" uri="{C3380CC4-5D6E-409C-BE32-E72D297353CC}">
              <c16:uniqueId val="{00000000-44CA-4EE7-B555-C872483AAC64}"/>
            </c:ext>
          </c:extLst>
        </c:ser>
        <c:ser>
          <c:idx val="1"/>
          <c:order val="1"/>
          <c:tx>
            <c:strRef>
              <c:f>Hoja1!$C$1</c:f>
              <c:strCache>
                <c:ptCount val="1"/>
                <c:pt idx="0">
                  <c:v>Trabajadores del Régimen General, del Mar y del Carbón</c:v>
                </c:pt>
              </c:strCache>
            </c:strRef>
          </c:tx>
          <c:spPr>
            <a:ln w="22225" cap="rnd" cmpd="sng" algn="ctr">
              <a:solidFill>
                <a:schemeClr val="accent5"/>
              </a:solidFill>
              <a:round/>
            </a:ln>
            <a:effectLst/>
          </c:spPr>
          <c:marker>
            <c:symbol val="none"/>
          </c:marker>
          <c:dLbls>
            <c:dLbl>
              <c:idx val="6"/>
              <c:layout>
                <c:manualLayout>
                  <c:x val="-5.8701787394167537E-2"/>
                  <c:y val="-5.00200988389964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00-4DC5-9C83-D4C8030000C9}"/>
                </c:ext>
              </c:extLst>
            </c:dLbl>
            <c:dLbl>
              <c:idx val="10"/>
              <c:layout>
                <c:manualLayout>
                  <c:x val="-1.7631350878882378E-3"/>
                  <c:y val="-3.80080868269844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85-48E5-9478-DD8C4A00957A}"/>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Hoja1!$A$2:$A$12</c:f>
              <c:strCache>
                <c:ptCount val="11"/>
                <c:pt idx="0">
                  <c:v>2013</c:v>
                </c:pt>
                <c:pt idx="1">
                  <c:v>2014</c:v>
                </c:pt>
                <c:pt idx="2">
                  <c:v>2015</c:v>
                </c:pt>
                <c:pt idx="3">
                  <c:v>2016</c:v>
                </c:pt>
                <c:pt idx="4">
                  <c:v>2017</c:v>
                </c:pt>
                <c:pt idx="5">
                  <c:v>2018</c:v>
                </c:pt>
                <c:pt idx="6">
                  <c:v>2019</c:v>
                </c:pt>
                <c:pt idx="7">
                  <c:v>2020</c:v>
                </c:pt>
                <c:pt idx="8">
                  <c:v>2021</c:v>
                </c:pt>
                <c:pt idx="9">
                  <c:v>2022</c:v>
                </c:pt>
                <c:pt idx="10">
                  <c:v>1S 2023</c:v>
                </c:pt>
              </c:strCache>
            </c:strRef>
          </c:cat>
          <c:val>
            <c:numRef>
              <c:f>Hoja1!$C$2:$C$12</c:f>
              <c:numCache>
                <c:formatCode>0.00%</c:formatCode>
                <c:ptCount val="11"/>
                <c:pt idx="0">
                  <c:v>0.95589999999999997</c:v>
                </c:pt>
                <c:pt idx="1">
                  <c:v>0.96299999999999997</c:v>
                </c:pt>
                <c:pt idx="2">
                  <c:v>0.96389999999999998</c:v>
                </c:pt>
                <c:pt idx="3">
                  <c:v>0.96479999999999999</c:v>
                </c:pt>
                <c:pt idx="4">
                  <c:v>0.96499999999999997</c:v>
                </c:pt>
                <c:pt idx="5">
                  <c:v>0.96530000000000005</c:v>
                </c:pt>
                <c:pt idx="6">
                  <c:v>0.96540000000000004</c:v>
                </c:pt>
                <c:pt idx="7">
                  <c:v>0.9617</c:v>
                </c:pt>
                <c:pt idx="8">
                  <c:v>0.96360000000000001</c:v>
                </c:pt>
                <c:pt idx="9">
                  <c:v>0.96660000000000001</c:v>
                </c:pt>
                <c:pt idx="10">
                  <c:v>0.97309999999999997</c:v>
                </c:pt>
              </c:numCache>
            </c:numRef>
          </c:val>
          <c:smooth val="1"/>
          <c:extLst>
            <c:ext xmlns:c16="http://schemas.microsoft.com/office/drawing/2014/chart" uri="{C3380CC4-5D6E-409C-BE32-E72D297353CC}">
              <c16:uniqueId val="{00000001-44CA-4EE7-B555-C872483AAC64}"/>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903691535"/>
        <c:axId val="2115393983"/>
      </c:lineChart>
      <c:lineChart>
        <c:grouping val="standard"/>
        <c:varyColors val="0"/>
        <c:ser>
          <c:idx val="2"/>
          <c:order val="2"/>
          <c:tx>
            <c:strRef>
              <c:f>Hoja1!$D$1</c:f>
              <c:strCache>
                <c:ptCount val="1"/>
                <c:pt idx="0">
                  <c:v>Autónomos</c:v>
                </c:pt>
              </c:strCache>
            </c:strRef>
          </c:tx>
          <c:spPr>
            <a:ln w="22225" cap="rnd" cmpd="sng" algn="ctr">
              <a:solidFill>
                <a:schemeClr val="accent5">
                  <a:tint val="65000"/>
                </a:schemeClr>
              </a:solidFill>
              <a:round/>
            </a:ln>
            <a:effectLst/>
          </c:spPr>
          <c:marker>
            <c:symbol val="none"/>
          </c:marker>
          <c:dLbls>
            <c:dLbl>
              <c:idx val="0"/>
              <c:layout>
                <c:manualLayout>
                  <c:x val="-3.5277516462841017E-2"/>
                  <c:y val="-7.2072072072072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3E-4D85-8CE3-D4EE3FEE4C8D}"/>
                </c:ext>
              </c:extLst>
            </c:dLbl>
            <c:dLbl>
              <c:idx val="1"/>
              <c:layout>
                <c:manualLayout>
                  <c:x val="-3.2925682031984947E-2"/>
                  <c:y val="-8.408408408408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3E-4D85-8CE3-D4EE3FEE4C8D}"/>
                </c:ext>
              </c:extLst>
            </c:dLbl>
            <c:dLbl>
              <c:idx val="2"/>
              <c:layout>
                <c:manualLayout>
                  <c:x val="-4.9388523047977424E-2"/>
                  <c:y val="-5.2052052052052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3E-4D85-8CE3-D4EE3FEE4C8D}"/>
                </c:ext>
              </c:extLst>
            </c:dLbl>
            <c:dLbl>
              <c:idx val="3"/>
              <c:layout>
                <c:manualLayout>
                  <c:x val="-6.1147695202257761E-2"/>
                  <c:y val="-3.2032032032032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3E-4D85-8CE3-D4EE3FEE4C8D}"/>
                </c:ext>
              </c:extLst>
            </c:dLbl>
            <c:dLbl>
              <c:idx val="4"/>
              <c:layout>
                <c:manualLayout>
                  <c:x val="-7.2906867356538146E-2"/>
                  <c:y val="-2.80280280280280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3E-4D85-8CE3-D4EE3FEE4C8D}"/>
                </c:ext>
              </c:extLst>
            </c:dLbl>
            <c:dLbl>
              <c:idx val="5"/>
              <c:layout>
                <c:manualLayout>
                  <c:x val="-8.4666039510818442E-2"/>
                  <c:y val="-2.4024024024024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3E-4D85-8CE3-D4EE3FEE4C8D}"/>
                </c:ext>
              </c:extLst>
            </c:dLbl>
            <c:dLbl>
              <c:idx val="6"/>
              <c:layout>
                <c:manualLayout>
                  <c:x val="-6.5851364063969978E-2"/>
                  <c:y val="0.212212212212212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3E-4D85-8CE3-D4EE3FEE4C8D}"/>
                </c:ext>
              </c:extLst>
            </c:dLbl>
            <c:dLbl>
              <c:idx val="7"/>
              <c:layout>
                <c:manualLayout>
                  <c:x val="-5.6444026340545628E-2"/>
                  <c:y val="-3.2032032032032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3E-4D85-8CE3-D4EE3FEE4C8D}"/>
                </c:ext>
              </c:extLst>
            </c:dLbl>
            <c:dLbl>
              <c:idx val="8"/>
              <c:layout>
                <c:manualLayout>
                  <c:x val="-5.8795860771401691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3E-4D85-8CE3-D4EE3FEE4C8D}"/>
                </c:ext>
              </c:extLst>
            </c:dLbl>
            <c:dLbl>
              <c:idx val="9"/>
              <c:layout>
                <c:manualLayout>
                  <c:x val="-3.0573847601129054E-2"/>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00-4DC5-9C83-D4C8030000C9}"/>
                </c:ext>
              </c:extLst>
            </c:dLbl>
            <c:dLbl>
              <c:idx val="10"/>
              <c:layout>
                <c:manualLayout>
                  <c:x val="0"/>
                  <c:y val="-3.603603603603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85-48E5-9478-DD8C4A00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Hoja1!$A$2:$A$12</c:f>
              <c:strCache>
                <c:ptCount val="11"/>
                <c:pt idx="0">
                  <c:v>2013</c:v>
                </c:pt>
                <c:pt idx="1">
                  <c:v>2014</c:v>
                </c:pt>
                <c:pt idx="2">
                  <c:v>2015</c:v>
                </c:pt>
                <c:pt idx="3">
                  <c:v>2016</c:v>
                </c:pt>
                <c:pt idx="4">
                  <c:v>2017</c:v>
                </c:pt>
                <c:pt idx="5">
                  <c:v>2018</c:v>
                </c:pt>
                <c:pt idx="6">
                  <c:v>2019</c:v>
                </c:pt>
                <c:pt idx="7">
                  <c:v>2020</c:v>
                </c:pt>
                <c:pt idx="8">
                  <c:v>2021</c:v>
                </c:pt>
                <c:pt idx="9">
                  <c:v>2022</c:v>
                </c:pt>
                <c:pt idx="10">
                  <c:v>1S 2023</c:v>
                </c:pt>
              </c:strCache>
            </c:strRef>
          </c:cat>
          <c:val>
            <c:numRef>
              <c:f>Hoja1!$D$2:$D$12</c:f>
              <c:numCache>
                <c:formatCode>0.00%</c:formatCode>
                <c:ptCount val="11"/>
                <c:pt idx="0">
                  <c:v>0.88580000000000003</c:v>
                </c:pt>
                <c:pt idx="1">
                  <c:v>0.89639999999999997</c:v>
                </c:pt>
                <c:pt idx="2">
                  <c:v>0.90339999999999998</c:v>
                </c:pt>
                <c:pt idx="3">
                  <c:v>0.91020000000000001</c:v>
                </c:pt>
                <c:pt idx="4">
                  <c:v>0.91679999999999995</c:v>
                </c:pt>
                <c:pt idx="5">
                  <c:v>0.92369999999999997</c:v>
                </c:pt>
                <c:pt idx="6">
                  <c:v>0.98150000000000004</c:v>
                </c:pt>
                <c:pt idx="7">
                  <c:v>0.99950000000000006</c:v>
                </c:pt>
                <c:pt idx="8">
                  <c:v>0.99980000000000002</c:v>
                </c:pt>
                <c:pt idx="9">
                  <c:v>0.99980000000000002</c:v>
                </c:pt>
                <c:pt idx="10">
                  <c:v>0.99980000000000002</c:v>
                </c:pt>
              </c:numCache>
            </c:numRef>
          </c:val>
          <c:smooth val="1"/>
          <c:extLst>
            <c:ext xmlns:c16="http://schemas.microsoft.com/office/drawing/2014/chart" uri="{C3380CC4-5D6E-409C-BE32-E72D297353CC}">
              <c16:uniqueId val="{00000000-AD3E-4D85-8CE3-D4EE3FEE4C8D}"/>
            </c:ext>
          </c:extLst>
        </c:ser>
        <c:dLbls>
          <c:showLegendKey val="0"/>
          <c:showVal val="0"/>
          <c:showCatName val="0"/>
          <c:showSerName val="0"/>
          <c:showPercent val="0"/>
          <c:showBubbleSize val="0"/>
        </c:dLbls>
        <c:marker val="1"/>
        <c:smooth val="0"/>
        <c:axId val="1543294671"/>
        <c:axId val="1543995679"/>
      </c:lineChart>
      <c:valAx>
        <c:axId val="2115393983"/>
        <c:scaling>
          <c:orientation val="minMax"/>
          <c:max val="0.995"/>
          <c:min val="0.94500000000000006"/>
        </c:scaling>
        <c:delete val="1"/>
        <c:axPos val="r"/>
        <c:numFmt formatCode="0.0%" sourceLinked="0"/>
        <c:majorTickMark val="out"/>
        <c:minorTickMark val="none"/>
        <c:tickLblPos val="nextTo"/>
        <c:crossAx val="1903691535"/>
        <c:crosses val="max"/>
        <c:crossBetween val="between"/>
      </c:valAx>
      <c:catAx>
        <c:axId val="1903691535"/>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ES"/>
          </a:p>
        </c:txPr>
        <c:crossAx val="2115393983"/>
        <c:crosses val="autoZero"/>
        <c:auto val="1"/>
        <c:lblAlgn val="ctr"/>
        <c:lblOffset val="100"/>
        <c:noMultiLvlLbl val="0"/>
      </c:catAx>
      <c:valAx>
        <c:axId val="1543995679"/>
        <c:scaling>
          <c:orientation val="minMax"/>
          <c:max val="1"/>
          <c:min val="0.88000000000000012"/>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ES"/>
          </a:p>
        </c:txPr>
        <c:crossAx val="1543294671"/>
        <c:crosses val="autoZero"/>
        <c:crossBetween val="between"/>
      </c:valAx>
      <c:catAx>
        <c:axId val="1543294671"/>
        <c:scaling>
          <c:orientation val="minMax"/>
        </c:scaling>
        <c:delete val="1"/>
        <c:axPos val="b"/>
        <c:numFmt formatCode="General" sourceLinked="1"/>
        <c:majorTickMark val="out"/>
        <c:minorTickMark val="none"/>
        <c:tickLblPos val="nextTo"/>
        <c:crossAx val="15439956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s-ES" b="1">
                <a:solidFill>
                  <a:schemeClr val="accent5">
                    <a:lumMod val="75000"/>
                  </a:schemeClr>
                </a:solidFill>
              </a:rPr>
              <a:t>CONTINGENCIAS COMUNES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ES"/>
        </a:p>
      </c:txPr>
    </c:title>
    <c:autoTitleDeleted val="0"/>
    <c:plotArea>
      <c:layout>
        <c:manualLayout>
          <c:layoutTarget val="inner"/>
          <c:xMode val="edge"/>
          <c:yMode val="edge"/>
          <c:x val="5.738901934059748E-2"/>
          <c:y val="0.14692618169755589"/>
          <c:w val="0.8826119806519952"/>
          <c:h val="0.69231946188141524"/>
        </c:manualLayout>
      </c:layout>
      <c:lineChart>
        <c:grouping val="standard"/>
        <c:varyColors val="0"/>
        <c:ser>
          <c:idx val="0"/>
          <c:order val="0"/>
          <c:tx>
            <c:strRef>
              <c:f>Hoja1!$B$1</c:f>
              <c:strCache>
                <c:ptCount val="1"/>
                <c:pt idx="0">
                  <c:v>Empresas</c:v>
                </c:pt>
              </c:strCache>
            </c:strRef>
          </c:tx>
          <c:spPr>
            <a:ln w="22225" cap="rnd" cmpd="sng" algn="ctr">
              <a:solidFill>
                <a:schemeClr val="accent5">
                  <a:shade val="65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Hoja1!$A$2:$A$12</c:f>
              <c:strCache>
                <c:ptCount val="11"/>
                <c:pt idx="0">
                  <c:v>2013</c:v>
                </c:pt>
                <c:pt idx="1">
                  <c:v>2014</c:v>
                </c:pt>
                <c:pt idx="2">
                  <c:v>2015</c:v>
                </c:pt>
                <c:pt idx="3">
                  <c:v>2016</c:v>
                </c:pt>
                <c:pt idx="4">
                  <c:v>2017</c:v>
                </c:pt>
                <c:pt idx="5">
                  <c:v>2018</c:v>
                </c:pt>
                <c:pt idx="6">
                  <c:v>2019</c:v>
                </c:pt>
                <c:pt idx="7">
                  <c:v>2020</c:v>
                </c:pt>
                <c:pt idx="8">
                  <c:v>2021</c:v>
                </c:pt>
                <c:pt idx="9">
                  <c:v>2022</c:v>
                </c:pt>
                <c:pt idx="10">
                  <c:v>1S 2023</c:v>
                </c:pt>
              </c:strCache>
            </c:strRef>
          </c:cat>
          <c:val>
            <c:numRef>
              <c:f>Hoja1!$B$2:$B$12</c:f>
              <c:numCache>
                <c:formatCode>0.00%</c:formatCode>
                <c:ptCount val="11"/>
                <c:pt idx="0">
                  <c:v>0.80811128464256299</c:v>
                </c:pt>
                <c:pt idx="1">
                  <c:v>0.82363473779526841</c:v>
                </c:pt>
                <c:pt idx="2">
                  <c:v>0.8311095582743927</c:v>
                </c:pt>
                <c:pt idx="3">
                  <c:v>0.83530481387736788</c:v>
                </c:pt>
                <c:pt idx="4">
                  <c:v>0.83848736657712464</c:v>
                </c:pt>
                <c:pt idx="5">
                  <c:v>0.83879999999999999</c:v>
                </c:pt>
                <c:pt idx="6">
                  <c:v>0.8327</c:v>
                </c:pt>
                <c:pt idx="7">
                  <c:v>0.82440000000000002</c:v>
                </c:pt>
                <c:pt idx="8">
                  <c:v>0.81659999999999999</c:v>
                </c:pt>
                <c:pt idx="9">
                  <c:v>0.81159999999999999</c:v>
                </c:pt>
                <c:pt idx="10">
                  <c:v>0.81289999999999996</c:v>
                </c:pt>
              </c:numCache>
            </c:numRef>
          </c:val>
          <c:smooth val="1"/>
          <c:extLst>
            <c:ext xmlns:c16="http://schemas.microsoft.com/office/drawing/2014/chart" uri="{C3380CC4-5D6E-409C-BE32-E72D297353CC}">
              <c16:uniqueId val="{00000000-E264-4E42-8974-219EA76190A2}"/>
            </c:ext>
          </c:extLst>
        </c:ser>
        <c:ser>
          <c:idx val="1"/>
          <c:order val="1"/>
          <c:tx>
            <c:strRef>
              <c:f>Hoja1!$C$1</c:f>
              <c:strCache>
                <c:ptCount val="1"/>
                <c:pt idx="0">
                  <c:v>Trabajadores del Régimen General, del Mar y del Carbón</c:v>
                </c:pt>
              </c:strCache>
            </c:strRef>
          </c:tx>
          <c:spPr>
            <a:ln w="22225" cap="rnd" cmpd="sng" algn="ctr">
              <a:solidFill>
                <a:schemeClr val="accent5"/>
              </a:solidFill>
              <a:round/>
            </a:ln>
            <a:effectLst/>
          </c:spPr>
          <c:marker>
            <c:symbol val="none"/>
          </c:marker>
          <c:dLbls>
            <c:dLbl>
              <c:idx val="5"/>
              <c:layout>
                <c:manualLayout>
                  <c:x val="-5.6349952963311467E-2"/>
                  <c:y val="-5.43943547068710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46-4FE7-BF08-4F4EF2DDD9B9}"/>
                </c:ext>
              </c:extLst>
            </c:dLbl>
            <c:dLbl>
              <c:idx val="6"/>
              <c:layout>
                <c:manualLayout>
                  <c:x val="-6.575729068673565E-2"/>
                  <c:y val="-4.23000188874798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64-4E42-8974-219EA76190A2}"/>
                </c:ext>
              </c:extLst>
            </c:dLbl>
            <c:dLbl>
              <c:idx val="7"/>
              <c:layout>
                <c:manualLayout>
                  <c:x val="-4.4590780809031047E-2"/>
                  <c:y val="-5.8425799980001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46-4FE7-BF08-4F4EF2DDD9B9}"/>
                </c:ext>
              </c:extLst>
            </c:dLbl>
            <c:dLbl>
              <c:idx val="10"/>
              <c:layout>
                <c:manualLayout>
                  <c:x val="-1.7631350878882378E-3"/>
                  <c:y val="-1.81113472486973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F8A-42C5-B1FD-D04D74D2999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Hoja1!$A$2:$A$12</c:f>
              <c:strCache>
                <c:ptCount val="11"/>
                <c:pt idx="0">
                  <c:v>2013</c:v>
                </c:pt>
                <c:pt idx="1">
                  <c:v>2014</c:v>
                </c:pt>
                <c:pt idx="2">
                  <c:v>2015</c:v>
                </c:pt>
                <c:pt idx="3">
                  <c:v>2016</c:v>
                </c:pt>
                <c:pt idx="4">
                  <c:v>2017</c:v>
                </c:pt>
                <c:pt idx="5">
                  <c:v>2018</c:v>
                </c:pt>
                <c:pt idx="6">
                  <c:v>2019</c:v>
                </c:pt>
                <c:pt idx="7">
                  <c:v>2020</c:v>
                </c:pt>
                <c:pt idx="8">
                  <c:v>2021</c:v>
                </c:pt>
                <c:pt idx="9">
                  <c:v>2022</c:v>
                </c:pt>
                <c:pt idx="10">
                  <c:v>1S 2023</c:v>
                </c:pt>
              </c:strCache>
            </c:strRef>
          </c:cat>
          <c:val>
            <c:numRef>
              <c:f>Hoja1!$C$2:$C$12</c:f>
              <c:numCache>
                <c:formatCode>0.00%</c:formatCode>
                <c:ptCount val="11"/>
                <c:pt idx="0">
                  <c:v>0.74690000000000001</c:v>
                </c:pt>
                <c:pt idx="1">
                  <c:v>0.76359999999999995</c:v>
                </c:pt>
                <c:pt idx="2">
                  <c:v>0.77439999999999998</c:v>
                </c:pt>
                <c:pt idx="3">
                  <c:v>0.78339999999999999</c:v>
                </c:pt>
                <c:pt idx="4">
                  <c:v>0.79039999999999999</c:v>
                </c:pt>
                <c:pt idx="5">
                  <c:v>0.79310000000000003</c:v>
                </c:pt>
                <c:pt idx="6">
                  <c:v>0.79339999999999999</c:v>
                </c:pt>
                <c:pt idx="7">
                  <c:v>0.76</c:v>
                </c:pt>
                <c:pt idx="8">
                  <c:v>0.75339999999999996</c:v>
                </c:pt>
                <c:pt idx="9">
                  <c:v>0.75190000000000001</c:v>
                </c:pt>
                <c:pt idx="10">
                  <c:v>0.79690000000000005</c:v>
                </c:pt>
              </c:numCache>
            </c:numRef>
          </c:val>
          <c:smooth val="1"/>
          <c:extLst>
            <c:ext xmlns:c16="http://schemas.microsoft.com/office/drawing/2014/chart" uri="{C3380CC4-5D6E-409C-BE32-E72D297353CC}">
              <c16:uniqueId val="{00000002-E264-4E42-8974-219EA76190A2}"/>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903691535"/>
        <c:axId val="2115393983"/>
      </c:lineChart>
      <c:lineChart>
        <c:grouping val="standard"/>
        <c:varyColors val="0"/>
        <c:ser>
          <c:idx val="2"/>
          <c:order val="2"/>
          <c:tx>
            <c:strRef>
              <c:f>Hoja1!$D$1</c:f>
              <c:strCache>
                <c:ptCount val="1"/>
                <c:pt idx="0">
                  <c:v>Autónomos</c:v>
                </c:pt>
              </c:strCache>
            </c:strRef>
          </c:tx>
          <c:spPr>
            <a:ln w="22225" cap="rnd" cmpd="sng" algn="ctr">
              <a:solidFill>
                <a:schemeClr val="accent5">
                  <a:tint val="65000"/>
                </a:schemeClr>
              </a:solidFill>
              <a:round/>
            </a:ln>
            <a:effectLst/>
          </c:spPr>
          <c:marker>
            <c:symbol val="none"/>
          </c:marker>
          <c:dLbls>
            <c:dLbl>
              <c:idx val="0"/>
              <c:layout>
                <c:manualLayout>
                  <c:x val="-5.8795860771401691E-2"/>
                  <c:y val="-0.16528925619834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4B3-4E4C-9060-19E5A38BFB19}"/>
                </c:ext>
              </c:extLst>
            </c:dLbl>
            <c:dLbl>
              <c:idx val="1"/>
              <c:layout>
                <c:manualLayout>
                  <c:x val="-5.8795860771401691E-2"/>
                  <c:y val="-0.120943358193912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B3-4E4C-9060-19E5A38BFB19}"/>
                </c:ext>
              </c:extLst>
            </c:dLbl>
            <c:dLbl>
              <c:idx val="2"/>
              <c:layout>
                <c:manualLayout>
                  <c:x val="-6.3499529633113824E-2"/>
                  <c:y val="-0.10078613182826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B3-4E4C-9060-19E5A38BFB19}"/>
                </c:ext>
              </c:extLst>
            </c:dLbl>
            <c:dLbl>
              <c:idx val="3"/>
              <c:layout>
                <c:manualLayout>
                  <c:x val="-6.8203198494826006E-2"/>
                  <c:y val="-7.2566014916347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B3-4E4C-9060-19E5A38BFB19}"/>
                </c:ext>
              </c:extLst>
            </c:dLbl>
            <c:dLbl>
              <c:idx val="4"/>
              <c:layout>
                <c:manualLayout>
                  <c:x val="-7.0555032925682118E-2"/>
                  <c:y val="-6.4503124370086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B3-4E4C-9060-19E5A38BFB19}"/>
                </c:ext>
              </c:extLst>
            </c:dLbl>
            <c:dLbl>
              <c:idx val="5"/>
              <c:layout>
                <c:manualLayout>
                  <c:x val="-6.8203198494826048E-2"/>
                  <c:y val="-7.256601491634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B3-4E4C-9060-19E5A38BFB19}"/>
                </c:ext>
              </c:extLst>
            </c:dLbl>
            <c:dLbl>
              <c:idx val="6"/>
              <c:layout>
                <c:manualLayout>
                  <c:x val="-4.2333019755409221E-2"/>
                  <c:y val="-4.8377343277565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B3-4E4C-9060-19E5A38BFB19}"/>
                </c:ext>
              </c:extLst>
            </c:dLbl>
            <c:dLbl>
              <c:idx val="7"/>
              <c:layout>
                <c:manualLayout>
                  <c:x val="-2.8222013170272901E-2"/>
                  <c:y val="-4.4345898004434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B3-4E4C-9060-19E5A38BFB19}"/>
                </c:ext>
              </c:extLst>
            </c:dLbl>
            <c:dLbl>
              <c:idx val="8"/>
              <c:layout>
                <c:manualLayout>
                  <c:x val="-3.2925682031984947E-2"/>
                  <c:y val="-3.6283007458173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B3-4E4C-9060-19E5A38BFB19}"/>
                </c:ext>
              </c:extLst>
            </c:dLbl>
            <c:dLbl>
              <c:idx val="9"/>
              <c:layout>
                <c:manualLayout>
                  <c:x val="-1.6462841015992474E-2"/>
                  <c:y val="-4.4345898004434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B3-4E4C-9060-19E5A38BFB19}"/>
                </c:ext>
              </c:extLst>
            </c:dLbl>
            <c:dLbl>
              <c:idx val="10"/>
              <c:layout>
                <c:manualLayout>
                  <c:x val="0"/>
                  <c:y val="3.6283007458173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F8A-42C5-B1FD-D04D74D299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Hoja1!$A$2:$A$12</c:f>
              <c:strCache>
                <c:ptCount val="11"/>
                <c:pt idx="0">
                  <c:v>2013</c:v>
                </c:pt>
                <c:pt idx="1">
                  <c:v>2014</c:v>
                </c:pt>
                <c:pt idx="2">
                  <c:v>2015</c:v>
                </c:pt>
                <c:pt idx="3">
                  <c:v>2016</c:v>
                </c:pt>
                <c:pt idx="4">
                  <c:v>2017</c:v>
                </c:pt>
                <c:pt idx="5">
                  <c:v>2018</c:v>
                </c:pt>
                <c:pt idx="6">
                  <c:v>2019</c:v>
                </c:pt>
                <c:pt idx="7">
                  <c:v>2020</c:v>
                </c:pt>
                <c:pt idx="8">
                  <c:v>2021</c:v>
                </c:pt>
                <c:pt idx="9">
                  <c:v>2022</c:v>
                </c:pt>
                <c:pt idx="10">
                  <c:v>1S 2023</c:v>
                </c:pt>
              </c:strCache>
            </c:strRef>
          </c:cat>
          <c:val>
            <c:numRef>
              <c:f>Hoja1!$D$2:$D$12</c:f>
              <c:numCache>
                <c:formatCode>0.00%</c:formatCode>
                <c:ptCount val="11"/>
                <c:pt idx="0">
                  <c:v>0.79990000000000006</c:v>
                </c:pt>
                <c:pt idx="1">
                  <c:v>0.82620000000000005</c:v>
                </c:pt>
                <c:pt idx="2">
                  <c:v>0.84319999999999995</c:v>
                </c:pt>
                <c:pt idx="3">
                  <c:v>0.85629999999999995</c:v>
                </c:pt>
                <c:pt idx="4">
                  <c:v>0.86750000000000005</c:v>
                </c:pt>
                <c:pt idx="5">
                  <c:v>0.87960000000000005</c:v>
                </c:pt>
                <c:pt idx="6">
                  <c:v>0.97350000000000003</c:v>
                </c:pt>
                <c:pt idx="7">
                  <c:v>0.99029999999999996</c:v>
                </c:pt>
                <c:pt idx="8">
                  <c:v>0.99080000000000001</c:v>
                </c:pt>
                <c:pt idx="9">
                  <c:v>0.9909</c:v>
                </c:pt>
                <c:pt idx="10">
                  <c:v>0.99129999999999996</c:v>
                </c:pt>
              </c:numCache>
            </c:numRef>
          </c:val>
          <c:smooth val="1"/>
          <c:extLst>
            <c:ext xmlns:c16="http://schemas.microsoft.com/office/drawing/2014/chart" uri="{C3380CC4-5D6E-409C-BE32-E72D297353CC}">
              <c16:uniqueId val="{00000000-04B3-4E4C-9060-19E5A38BFB19}"/>
            </c:ext>
          </c:extLst>
        </c:ser>
        <c:dLbls>
          <c:showLegendKey val="0"/>
          <c:showVal val="0"/>
          <c:showCatName val="0"/>
          <c:showSerName val="0"/>
          <c:showPercent val="0"/>
          <c:showBubbleSize val="0"/>
        </c:dLbls>
        <c:marker val="1"/>
        <c:smooth val="0"/>
        <c:axId val="1543229695"/>
        <c:axId val="1543230655"/>
      </c:lineChart>
      <c:valAx>
        <c:axId val="2115393983"/>
        <c:scaling>
          <c:orientation val="minMax"/>
          <c:min val="0.75000000000000011"/>
        </c:scaling>
        <c:delete val="1"/>
        <c:axPos val="r"/>
        <c:numFmt formatCode="0%" sourceLinked="0"/>
        <c:majorTickMark val="none"/>
        <c:minorTickMark val="none"/>
        <c:tickLblPos val="nextTo"/>
        <c:crossAx val="1903691535"/>
        <c:crosses val="max"/>
        <c:crossBetween val="between"/>
      </c:valAx>
      <c:catAx>
        <c:axId val="1903691535"/>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ES"/>
          </a:p>
        </c:txPr>
        <c:crossAx val="2115393983"/>
        <c:crosses val="autoZero"/>
        <c:auto val="1"/>
        <c:lblAlgn val="ctr"/>
        <c:lblOffset val="100"/>
        <c:noMultiLvlLbl val="0"/>
      </c:catAx>
      <c:valAx>
        <c:axId val="1543230655"/>
        <c:scaling>
          <c:orientation val="minMax"/>
          <c:max val="1"/>
          <c:min val="0.70000000000000007"/>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ES"/>
          </a:p>
        </c:txPr>
        <c:crossAx val="1543229695"/>
        <c:crosses val="autoZero"/>
        <c:crossBetween val="between"/>
      </c:valAx>
      <c:catAx>
        <c:axId val="1543229695"/>
        <c:scaling>
          <c:orientation val="minMax"/>
        </c:scaling>
        <c:delete val="1"/>
        <c:axPos val="b"/>
        <c:numFmt formatCode="General" sourceLinked="1"/>
        <c:majorTickMark val="out"/>
        <c:minorTickMark val="none"/>
        <c:tickLblPos val="nextTo"/>
        <c:crossAx val="1543230655"/>
        <c:crosses val="autoZero"/>
        <c:auto val="1"/>
        <c:lblAlgn val="ctr"/>
        <c:lblOffset val="100"/>
        <c:noMultiLvlLbl val="0"/>
      </c:catAx>
      <c:spPr>
        <a:solidFill>
          <a:schemeClr val="bg1"/>
        </a:solid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517F-1AA8-4F34-8CE9-4851AFF2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5</Pages>
  <Words>952</Words>
  <Characters>5237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Libran</dc:creator>
  <cp:keywords/>
  <dc:description/>
  <cp:lastModifiedBy>AMAT - Adrian Vallejo</cp:lastModifiedBy>
  <cp:revision>121</cp:revision>
  <cp:lastPrinted>2023-03-30T08:08:00Z</cp:lastPrinted>
  <dcterms:created xsi:type="dcterms:W3CDTF">2020-03-25T13:40:00Z</dcterms:created>
  <dcterms:modified xsi:type="dcterms:W3CDTF">2023-08-25T11:51:00Z</dcterms:modified>
</cp:coreProperties>
</file>